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22CBB" w14:textId="2658956D" w:rsidR="00CF139F" w:rsidRDefault="0018440C">
      <w:r>
        <w:rPr>
          <w:noProof/>
        </w:rPr>
        <w:drawing>
          <wp:inline distT="0" distB="0" distL="0" distR="0" wp14:anchorId="125BBD87" wp14:editId="791E2E83">
            <wp:extent cx="703131" cy="704088"/>
            <wp:effectExtent l="0" t="0" r="8255" b="7620"/>
            <wp:docPr id="1" name="Picture 1" descr="global:Marketing:Design Files:Creative Library:Logos and Branding:ICE Logos:For Internal Use Only:For Microsoft:50 px:JPG:ICE_logo_50px_RGB_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Marketing:Design Files:Creative Library:Logos and Branding:ICE Logos:For Internal Use Only:For Microsoft:50 px:JPG:ICE_logo_50px_RGB_MS.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0172" t="10111" r="10122" b="10074"/>
                    <a:stretch/>
                  </pic:blipFill>
                  <pic:spPr bwMode="auto">
                    <a:xfrm>
                      <a:off x="0" y="0"/>
                      <a:ext cx="704538" cy="705497"/>
                    </a:xfrm>
                    <a:prstGeom prst="rect">
                      <a:avLst/>
                    </a:prstGeom>
                    <a:noFill/>
                    <a:ln>
                      <a:noFill/>
                    </a:ln>
                    <a:extLst>
                      <a:ext uri="{53640926-AAD7-44D8-BBD7-CCE9431645EC}">
                        <a14:shadowObscured xmlns:a14="http://schemas.microsoft.com/office/drawing/2010/main"/>
                      </a:ext>
                    </a:extLst>
                  </pic:spPr>
                </pic:pic>
              </a:graphicData>
            </a:graphic>
          </wp:inline>
        </w:drawing>
      </w:r>
    </w:p>
    <w:p w14:paraId="45CAC704" w14:textId="77777777" w:rsidR="00F60134" w:rsidRDefault="00F60134"/>
    <w:p w14:paraId="29DB985D" w14:textId="77777777" w:rsidR="0047723C" w:rsidRPr="00894840" w:rsidRDefault="0047723C" w:rsidP="007739C5">
      <w:pPr>
        <w:ind w:left="-180" w:right="-720"/>
        <w:jc w:val="center"/>
        <w:rPr>
          <w:b/>
          <w:color w:val="auto"/>
        </w:rPr>
      </w:pPr>
      <w:r w:rsidRPr="00894840">
        <w:rPr>
          <w:b/>
          <w:color w:val="auto"/>
        </w:rPr>
        <w:t>ICE FUTURES U.S.</w:t>
      </w:r>
    </w:p>
    <w:p w14:paraId="2DA9063C" w14:textId="3F298461" w:rsidR="007739C5" w:rsidRDefault="00214949" w:rsidP="00894840">
      <w:pPr>
        <w:ind w:left="-180" w:right="-720"/>
        <w:jc w:val="center"/>
        <w:rPr>
          <w:b/>
          <w:color w:val="auto"/>
        </w:rPr>
      </w:pPr>
      <w:r>
        <w:rPr>
          <w:b/>
          <w:color w:val="auto"/>
        </w:rPr>
        <w:t>AGRICULTURAL SPOT MONTH</w:t>
      </w:r>
      <w:r>
        <w:rPr>
          <w:rStyle w:val="FootnoteReference"/>
          <w:b/>
          <w:color w:val="auto"/>
        </w:rPr>
        <w:footnoteReference w:id="1"/>
      </w:r>
      <w:r>
        <w:rPr>
          <w:b/>
          <w:color w:val="auto"/>
        </w:rPr>
        <w:t xml:space="preserve"> (OR </w:t>
      </w:r>
      <w:r w:rsidR="0047723C" w:rsidRPr="00894840">
        <w:rPr>
          <w:b/>
          <w:color w:val="auto"/>
        </w:rPr>
        <w:t>NOTICE PERIOD</w:t>
      </w:r>
      <w:r>
        <w:rPr>
          <w:b/>
          <w:color w:val="auto"/>
        </w:rPr>
        <w:t>)</w:t>
      </w:r>
    </w:p>
    <w:p w14:paraId="78393442" w14:textId="447E2255" w:rsidR="0047723C" w:rsidRPr="00894840" w:rsidRDefault="0047723C" w:rsidP="00894840">
      <w:pPr>
        <w:ind w:left="-180" w:right="-720"/>
        <w:jc w:val="center"/>
        <w:rPr>
          <w:b/>
          <w:color w:val="auto"/>
        </w:rPr>
      </w:pPr>
      <w:r w:rsidRPr="00894840">
        <w:rPr>
          <w:b/>
          <w:color w:val="auto"/>
        </w:rPr>
        <w:t>EXEMPTION REQUEST FORM</w:t>
      </w:r>
    </w:p>
    <w:p w14:paraId="4596AFD4" w14:textId="77777777" w:rsidR="0047723C" w:rsidRPr="00894840" w:rsidRDefault="0047723C" w:rsidP="00194E60">
      <w:pPr>
        <w:jc w:val="center"/>
        <w:rPr>
          <w:b/>
          <w:color w:val="auto"/>
        </w:rPr>
      </w:pPr>
    </w:p>
    <w:p w14:paraId="40E4286A" w14:textId="77777777" w:rsidR="0047723C" w:rsidRPr="00894840" w:rsidRDefault="0047723C" w:rsidP="0047723C">
      <w:pPr>
        <w:rPr>
          <w:b/>
          <w:color w:val="auto"/>
        </w:rPr>
      </w:pPr>
    </w:p>
    <w:p w14:paraId="748B4299" w14:textId="77777777" w:rsidR="0047723C" w:rsidRPr="00894840" w:rsidRDefault="0047723C" w:rsidP="00894840">
      <w:pPr>
        <w:jc w:val="both"/>
        <w:rPr>
          <w:color w:val="auto"/>
        </w:rPr>
      </w:pPr>
      <w:r w:rsidRPr="00894840">
        <w:rPr>
          <w:color w:val="auto"/>
          <w:u w:val="single"/>
        </w:rPr>
        <w:t>Information for Applicant</w:t>
      </w:r>
    </w:p>
    <w:p w14:paraId="1D86D355" w14:textId="77777777" w:rsidR="0047723C" w:rsidRPr="00894840" w:rsidRDefault="0047723C" w:rsidP="00894840">
      <w:pPr>
        <w:jc w:val="both"/>
        <w:rPr>
          <w:color w:val="auto"/>
        </w:rPr>
      </w:pPr>
    </w:p>
    <w:p w14:paraId="4F06C87B" w14:textId="134480F8" w:rsidR="00214949" w:rsidRPr="00894840" w:rsidRDefault="00214949" w:rsidP="00894840">
      <w:pPr>
        <w:numPr>
          <w:ilvl w:val="0"/>
          <w:numId w:val="6"/>
        </w:numPr>
        <w:spacing w:line="240" w:lineRule="auto"/>
        <w:jc w:val="both"/>
        <w:rPr>
          <w:color w:val="auto"/>
        </w:rPr>
      </w:pPr>
      <w:r>
        <w:rPr>
          <w:color w:val="auto"/>
        </w:rPr>
        <w:t>The Person submitting this application shall be deemed to be the “Applicant.”</w:t>
      </w:r>
    </w:p>
    <w:p w14:paraId="58661EFF" w14:textId="58FF23A1" w:rsidR="0047723C" w:rsidRPr="00A42A8E" w:rsidRDefault="0047723C" w:rsidP="00894840">
      <w:pPr>
        <w:pStyle w:val="ListParagraph"/>
        <w:widowControl w:val="0"/>
        <w:numPr>
          <w:ilvl w:val="0"/>
          <w:numId w:val="6"/>
        </w:numPr>
        <w:tabs>
          <w:tab w:val="left" w:pos="1125"/>
        </w:tabs>
        <w:autoSpaceDE w:val="0"/>
        <w:autoSpaceDN w:val="0"/>
        <w:spacing w:before="119" w:line="240" w:lineRule="auto"/>
        <w:jc w:val="both"/>
        <w:rPr>
          <w:rFonts w:cstheme="minorHAnsi"/>
          <w:color w:val="auto"/>
          <w:szCs w:val="20"/>
        </w:rPr>
      </w:pPr>
      <w:r w:rsidRPr="00894840">
        <w:rPr>
          <w:color w:val="auto"/>
          <w:szCs w:val="20"/>
        </w:rPr>
        <w:t xml:space="preserve">The position limits for </w:t>
      </w:r>
      <w:r w:rsidR="00654516" w:rsidRPr="00894840">
        <w:rPr>
          <w:color w:val="auto"/>
          <w:szCs w:val="20"/>
        </w:rPr>
        <w:t xml:space="preserve">Exchange </w:t>
      </w:r>
      <w:r w:rsidRPr="00894840">
        <w:rPr>
          <w:color w:val="auto"/>
          <w:szCs w:val="20"/>
        </w:rPr>
        <w:t xml:space="preserve">Futures and Options contracts specified in Chapter 6 of the Exchange Rules </w:t>
      </w:r>
      <w:r w:rsidR="00654516" w:rsidRPr="00894840">
        <w:rPr>
          <w:rFonts w:cstheme="minorHAnsi"/>
          <w:color w:val="auto"/>
          <w:szCs w:val="20"/>
        </w:rPr>
        <w:t xml:space="preserve">shall not apply to (i) enumerated bona fide hedging positions </w:t>
      </w:r>
      <w:r w:rsidR="00BA5A36" w:rsidRPr="00894840">
        <w:rPr>
          <w:rFonts w:cstheme="minorHAnsi"/>
          <w:color w:val="auto"/>
          <w:szCs w:val="20"/>
        </w:rPr>
        <w:t xml:space="preserve">(as listed in Appendix A to Part 150 of the CFTC Regulations) </w:t>
      </w:r>
      <w:r w:rsidR="00654516" w:rsidRPr="00894840">
        <w:rPr>
          <w:rFonts w:cstheme="minorHAnsi"/>
          <w:color w:val="auto"/>
          <w:szCs w:val="20"/>
        </w:rPr>
        <w:t>or non-enumerated hedging positions which are otherwise determined by the Exchange</w:t>
      </w:r>
      <w:r w:rsidR="00654516" w:rsidRPr="00894840">
        <w:rPr>
          <w:rFonts w:cstheme="minorHAnsi"/>
          <w:color w:val="auto"/>
          <w:spacing w:val="-8"/>
          <w:szCs w:val="20"/>
        </w:rPr>
        <w:t xml:space="preserve"> </w:t>
      </w:r>
      <w:r w:rsidR="00654516" w:rsidRPr="00894840">
        <w:rPr>
          <w:rFonts w:cstheme="minorHAnsi"/>
          <w:color w:val="auto"/>
          <w:szCs w:val="20"/>
        </w:rPr>
        <w:t>to</w:t>
      </w:r>
      <w:r w:rsidR="00654516" w:rsidRPr="00894840">
        <w:rPr>
          <w:rFonts w:cstheme="minorHAnsi"/>
          <w:color w:val="auto"/>
          <w:spacing w:val="-9"/>
          <w:szCs w:val="20"/>
        </w:rPr>
        <w:t xml:space="preserve"> </w:t>
      </w:r>
      <w:r w:rsidR="00654516" w:rsidRPr="00894840">
        <w:rPr>
          <w:rFonts w:cstheme="minorHAnsi"/>
          <w:color w:val="auto"/>
          <w:szCs w:val="20"/>
        </w:rPr>
        <w:t>be</w:t>
      </w:r>
      <w:r w:rsidR="00654516" w:rsidRPr="00894840">
        <w:rPr>
          <w:rFonts w:cstheme="minorHAnsi"/>
          <w:color w:val="auto"/>
          <w:spacing w:val="-7"/>
          <w:szCs w:val="20"/>
        </w:rPr>
        <w:t xml:space="preserve"> </w:t>
      </w:r>
      <w:r w:rsidR="00654516" w:rsidRPr="00894840">
        <w:rPr>
          <w:rFonts w:cstheme="minorHAnsi"/>
          <w:color w:val="auto"/>
          <w:szCs w:val="20"/>
        </w:rPr>
        <w:t>consistent</w:t>
      </w:r>
      <w:r w:rsidR="00654516" w:rsidRPr="00894840">
        <w:rPr>
          <w:rFonts w:cstheme="minorHAnsi"/>
          <w:color w:val="auto"/>
          <w:spacing w:val="-10"/>
          <w:szCs w:val="20"/>
        </w:rPr>
        <w:t xml:space="preserve"> </w:t>
      </w:r>
      <w:r w:rsidR="00654516" w:rsidRPr="00894840">
        <w:rPr>
          <w:rFonts w:cstheme="minorHAnsi"/>
          <w:color w:val="auto"/>
          <w:szCs w:val="20"/>
        </w:rPr>
        <w:t>with</w:t>
      </w:r>
      <w:r w:rsidR="00654516" w:rsidRPr="00894840">
        <w:rPr>
          <w:rFonts w:cstheme="minorHAnsi"/>
          <w:color w:val="auto"/>
          <w:spacing w:val="-8"/>
          <w:szCs w:val="20"/>
        </w:rPr>
        <w:t xml:space="preserve"> </w:t>
      </w:r>
      <w:r w:rsidR="00654516" w:rsidRPr="00894840">
        <w:rPr>
          <w:rFonts w:cstheme="minorHAnsi"/>
          <w:color w:val="auto"/>
          <w:szCs w:val="20"/>
        </w:rPr>
        <w:t>the</w:t>
      </w:r>
      <w:r w:rsidR="00654516" w:rsidRPr="00894840">
        <w:rPr>
          <w:rFonts w:cstheme="minorHAnsi"/>
          <w:color w:val="auto"/>
          <w:spacing w:val="-8"/>
          <w:szCs w:val="20"/>
        </w:rPr>
        <w:t xml:space="preserve"> </w:t>
      </w:r>
      <w:r w:rsidR="00654516" w:rsidRPr="00894840">
        <w:rPr>
          <w:rFonts w:cstheme="minorHAnsi"/>
          <w:color w:val="auto"/>
          <w:szCs w:val="20"/>
        </w:rPr>
        <w:t>purposes</w:t>
      </w:r>
      <w:r w:rsidR="00654516" w:rsidRPr="00894840">
        <w:rPr>
          <w:rFonts w:cstheme="minorHAnsi"/>
          <w:color w:val="auto"/>
          <w:spacing w:val="-7"/>
          <w:szCs w:val="20"/>
        </w:rPr>
        <w:t xml:space="preserve"> </w:t>
      </w:r>
      <w:r w:rsidR="00654516" w:rsidRPr="00894840">
        <w:rPr>
          <w:rFonts w:cstheme="minorHAnsi"/>
          <w:color w:val="auto"/>
          <w:szCs w:val="20"/>
        </w:rPr>
        <w:t>of</w:t>
      </w:r>
      <w:r w:rsidR="00654516" w:rsidRPr="00894840">
        <w:rPr>
          <w:rFonts w:cstheme="minorHAnsi"/>
          <w:color w:val="auto"/>
          <w:spacing w:val="-8"/>
          <w:szCs w:val="20"/>
        </w:rPr>
        <w:t xml:space="preserve"> </w:t>
      </w:r>
      <w:r w:rsidR="00654516" w:rsidRPr="00894840">
        <w:rPr>
          <w:rFonts w:cstheme="minorHAnsi"/>
          <w:color w:val="auto"/>
          <w:szCs w:val="20"/>
        </w:rPr>
        <w:t>hedging, as defined in and subject to CFTC Regulations 150.1 and 150.3(a)(1),</w:t>
      </w:r>
      <w:r w:rsidR="00654516" w:rsidRPr="00894840">
        <w:rPr>
          <w:rFonts w:cstheme="minorHAnsi"/>
          <w:color w:val="auto"/>
          <w:spacing w:val="-8"/>
          <w:szCs w:val="20"/>
        </w:rPr>
        <w:t xml:space="preserve"> </w:t>
      </w:r>
      <w:r w:rsidR="00654516" w:rsidRPr="00894840">
        <w:rPr>
          <w:rFonts w:cstheme="minorHAnsi"/>
          <w:color w:val="auto"/>
          <w:szCs w:val="20"/>
        </w:rPr>
        <w:t>and</w:t>
      </w:r>
      <w:r w:rsidR="00654516" w:rsidRPr="00894840">
        <w:rPr>
          <w:rFonts w:cstheme="minorHAnsi"/>
          <w:color w:val="auto"/>
          <w:spacing w:val="-7"/>
          <w:szCs w:val="20"/>
        </w:rPr>
        <w:t xml:space="preserve"> </w:t>
      </w:r>
      <w:r w:rsidR="00654516" w:rsidRPr="00894840">
        <w:rPr>
          <w:rFonts w:cstheme="minorHAnsi"/>
          <w:color w:val="auto"/>
          <w:szCs w:val="20"/>
        </w:rPr>
        <w:t>are</w:t>
      </w:r>
      <w:r w:rsidR="00654516" w:rsidRPr="00894840">
        <w:rPr>
          <w:rFonts w:cstheme="minorHAnsi"/>
          <w:color w:val="auto"/>
          <w:spacing w:val="-8"/>
          <w:szCs w:val="20"/>
        </w:rPr>
        <w:t xml:space="preserve"> </w:t>
      </w:r>
      <w:r w:rsidR="00654516" w:rsidRPr="00894840">
        <w:rPr>
          <w:rFonts w:cstheme="minorHAnsi"/>
          <w:color w:val="auto"/>
          <w:szCs w:val="20"/>
        </w:rPr>
        <w:t>approved</w:t>
      </w:r>
      <w:r w:rsidR="00654516" w:rsidRPr="00894840">
        <w:rPr>
          <w:rFonts w:cstheme="minorHAnsi"/>
          <w:color w:val="auto"/>
          <w:spacing w:val="-8"/>
          <w:szCs w:val="20"/>
        </w:rPr>
        <w:t xml:space="preserve"> </w:t>
      </w:r>
      <w:r w:rsidR="00654516" w:rsidRPr="00894840">
        <w:rPr>
          <w:rFonts w:cstheme="minorHAnsi"/>
          <w:color w:val="auto"/>
          <w:szCs w:val="20"/>
        </w:rPr>
        <w:t>in</w:t>
      </w:r>
      <w:r w:rsidR="00654516" w:rsidRPr="00894840">
        <w:rPr>
          <w:rFonts w:cstheme="minorHAnsi"/>
          <w:color w:val="auto"/>
          <w:spacing w:val="-8"/>
          <w:szCs w:val="20"/>
        </w:rPr>
        <w:t xml:space="preserve"> </w:t>
      </w:r>
      <w:r w:rsidR="00654516" w:rsidRPr="00894840">
        <w:rPr>
          <w:rFonts w:cstheme="minorHAnsi"/>
          <w:color w:val="auto"/>
          <w:szCs w:val="20"/>
        </w:rPr>
        <w:t>accordance</w:t>
      </w:r>
      <w:r w:rsidR="00654516" w:rsidRPr="00894840">
        <w:rPr>
          <w:rFonts w:cstheme="minorHAnsi"/>
          <w:color w:val="auto"/>
          <w:spacing w:val="-8"/>
          <w:szCs w:val="20"/>
        </w:rPr>
        <w:t xml:space="preserve"> </w:t>
      </w:r>
      <w:r w:rsidR="00654516" w:rsidRPr="00894840">
        <w:rPr>
          <w:rFonts w:cstheme="minorHAnsi"/>
          <w:color w:val="auto"/>
          <w:szCs w:val="20"/>
        </w:rPr>
        <w:t>with</w:t>
      </w:r>
      <w:r w:rsidR="00654516" w:rsidRPr="00894840">
        <w:rPr>
          <w:rFonts w:cstheme="minorHAnsi"/>
          <w:color w:val="auto"/>
          <w:spacing w:val="-10"/>
          <w:szCs w:val="20"/>
        </w:rPr>
        <w:t xml:space="preserve"> </w:t>
      </w:r>
      <w:r w:rsidR="00654516" w:rsidRPr="00894840">
        <w:rPr>
          <w:rFonts w:cstheme="minorHAnsi"/>
          <w:color w:val="auto"/>
          <w:szCs w:val="20"/>
        </w:rPr>
        <w:t>Rule 6.29,</w:t>
      </w:r>
      <w:r w:rsidR="00654516" w:rsidRPr="00894840">
        <w:rPr>
          <w:rFonts w:cstheme="minorHAnsi"/>
          <w:color w:val="auto"/>
          <w:spacing w:val="-6"/>
          <w:szCs w:val="20"/>
        </w:rPr>
        <w:t xml:space="preserve"> </w:t>
      </w:r>
      <w:r w:rsidR="00654516" w:rsidRPr="00894840">
        <w:rPr>
          <w:rFonts w:cstheme="minorHAnsi"/>
          <w:color w:val="auto"/>
          <w:szCs w:val="20"/>
        </w:rPr>
        <w:t>(ii) spread positions, as defined in CFTC Regulation 150.1</w:t>
      </w:r>
      <w:r w:rsidR="00BA5A36" w:rsidRPr="00894840">
        <w:rPr>
          <w:rFonts w:cstheme="minorHAnsi"/>
          <w:color w:val="auto"/>
          <w:szCs w:val="20"/>
        </w:rPr>
        <w:t xml:space="preserve"> and consistent with Appendix G to Part 150 of the CFTC Regulations</w:t>
      </w:r>
      <w:r w:rsidR="00654516" w:rsidRPr="00894840">
        <w:rPr>
          <w:rFonts w:cstheme="minorHAnsi"/>
          <w:color w:val="auto"/>
          <w:szCs w:val="20"/>
        </w:rPr>
        <w:t xml:space="preserve">,  (iii) risk management positions: (A) for </w:t>
      </w:r>
      <w:r w:rsidR="00914D8B" w:rsidRPr="00894840">
        <w:rPr>
          <w:rFonts w:cstheme="minorHAnsi"/>
          <w:color w:val="auto"/>
          <w:szCs w:val="20"/>
        </w:rPr>
        <w:t>Commodities not subject to position limits under CFTC Regulation 150.2</w:t>
      </w:r>
      <w:r w:rsidR="00654516" w:rsidRPr="00894840">
        <w:rPr>
          <w:rFonts w:cstheme="minorHAnsi"/>
          <w:color w:val="auto"/>
          <w:szCs w:val="20"/>
        </w:rPr>
        <w:t xml:space="preserve"> or (B) beginning January 1, 2023, for those </w:t>
      </w:r>
      <w:r w:rsidR="00E33C2D" w:rsidRPr="00894840">
        <w:rPr>
          <w:rFonts w:cstheme="minorHAnsi"/>
          <w:color w:val="auto"/>
          <w:szCs w:val="20"/>
        </w:rPr>
        <w:t>C</w:t>
      </w:r>
      <w:r w:rsidR="00654516" w:rsidRPr="00894840">
        <w:rPr>
          <w:rFonts w:cstheme="minorHAnsi"/>
          <w:color w:val="auto"/>
          <w:szCs w:val="20"/>
        </w:rPr>
        <w:t>ommodities that are subject to federal position limits</w:t>
      </w:r>
      <w:r w:rsidR="00654516" w:rsidRPr="00894840">
        <w:rPr>
          <w:rFonts w:cstheme="minorHAnsi"/>
          <w:color w:val="auto"/>
          <w:spacing w:val="-8"/>
          <w:szCs w:val="20"/>
        </w:rPr>
        <w:t xml:space="preserve"> </w:t>
      </w:r>
      <w:r w:rsidR="00654516" w:rsidRPr="00894840">
        <w:rPr>
          <w:rFonts w:cstheme="minorHAnsi"/>
          <w:color w:val="auto"/>
          <w:szCs w:val="20"/>
        </w:rPr>
        <w:t>under</w:t>
      </w:r>
      <w:r w:rsidR="00654516" w:rsidRPr="00894840">
        <w:rPr>
          <w:rFonts w:cstheme="minorHAnsi"/>
          <w:color w:val="auto"/>
          <w:spacing w:val="-7"/>
          <w:szCs w:val="20"/>
        </w:rPr>
        <w:t xml:space="preserve"> </w:t>
      </w:r>
      <w:r w:rsidR="00654516" w:rsidRPr="00894840">
        <w:rPr>
          <w:rFonts w:cstheme="minorHAnsi"/>
          <w:color w:val="auto"/>
          <w:szCs w:val="20"/>
        </w:rPr>
        <w:t>CFTC</w:t>
      </w:r>
      <w:r w:rsidR="00654516" w:rsidRPr="00894840">
        <w:rPr>
          <w:rFonts w:cstheme="minorHAnsi"/>
          <w:color w:val="auto"/>
          <w:spacing w:val="-9"/>
          <w:szCs w:val="20"/>
        </w:rPr>
        <w:t xml:space="preserve"> </w:t>
      </w:r>
      <w:r w:rsidR="00654516" w:rsidRPr="00894840">
        <w:rPr>
          <w:rFonts w:cstheme="minorHAnsi"/>
          <w:color w:val="auto"/>
          <w:szCs w:val="20"/>
        </w:rPr>
        <w:t>Regulation</w:t>
      </w:r>
      <w:r w:rsidR="00654516" w:rsidRPr="00894840">
        <w:rPr>
          <w:rFonts w:cstheme="minorHAnsi"/>
          <w:color w:val="auto"/>
          <w:spacing w:val="-9"/>
          <w:szCs w:val="20"/>
        </w:rPr>
        <w:t xml:space="preserve"> </w:t>
      </w:r>
      <w:r w:rsidR="00654516" w:rsidRPr="00894840">
        <w:rPr>
          <w:rFonts w:cstheme="minorHAnsi"/>
          <w:color w:val="auto"/>
          <w:szCs w:val="20"/>
        </w:rPr>
        <w:t>150.2,</w:t>
      </w:r>
      <w:r w:rsidR="00654516" w:rsidRPr="00894840">
        <w:rPr>
          <w:rFonts w:cstheme="minorHAnsi"/>
          <w:color w:val="auto"/>
          <w:spacing w:val="-9"/>
          <w:szCs w:val="20"/>
        </w:rPr>
        <w:t xml:space="preserve"> </w:t>
      </w:r>
      <w:r w:rsidR="00654516" w:rsidRPr="00894840">
        <w:rPr>
          <w:rFonts w:cstheme="minorHAnsi"/>
          <w:color w:val="auto"/>
          <w:szCs w:val="20"/>
        </w:rPr>
        <w:t>for</w:t>
      </w:r>
      <w:r w:rsidR="00654516" w:rsidRPr="00894840">
        <w:rPr>
          <w:rFonts w:cstheme="minorHAnsi"/>
          <w:color w:val="auto"/>
          <w:spacing w:val="-8"/>
          <w:szCs w:val="20"/>
        </w:rPr>
        <w:t xml:space="preserve"> </w:t>
      </w:r>
      <w:r w:rsidR="00654516" w:rsidRPr="00894840">
        <w:rPr>
          <w:rFonts w:cstheme="minorHAnsi"/>
          <w:color w:val="auto"/>
          <w:szCs w:val="20"/>
        </w:rPr>
        <w:t>quantities</w:t>
      </w:r>
      <w:r w:rsidR="00654516" w:rsidRPr="00894840">
        <w:rPr>
          <w:rFonts w:cstheme="minorHAnsi"/>
          <w:color w:val="auto"/>
          <w:spacing w:val="-8"/>
          <w:szCs w:val="20"/>
        </w:rPr>
        <w:t xml:space="preserve"> </w:t>
      </w:r>
      <w:r w:rsidR="00654516" w:rsidRPr="00894840">
        <w:rPr>
          <w:rFonts w:cstheme="minorHAnsi"/>
          <w:color w:val="auto"/>
          <w:szCs w:val="20"/>
        </w:rPr>
        <w:t>up</w:t>
      </w:r>
      <w:r w:rsidR="00654516" w:rsidRPr="00894840">
        <w:rPr>
          <w:rFonts w:cstheme="minorHAnsi"/>
          <w:color w:val="auto"/>
          <w:spacing w:val="-9"/>
          <w:szCs w:val="20"/>
        </w:rPr>
        <w:t xml:space="preserve"> </w:t>
      </w:r>
      <w:r w:rsidR="00654516" w:rsidRPr="00894840">
        <w:rPr>
          <w:rFonts w:cstheme="minorHAnsi"/>
          <w:color w:val="auto"/>
          <w:szCs w:val="20"/>
        </w:rPr>
        <w:t>to,</w:t>
      </w:r>
      <w:r w:rsidR="00654516" w:rsidRPr="00894840">
        <w:rPr>
          <w:rFonts w:cstheme="minorHAnsi"/>
          <w:color w:val="auto"/>
          <w:spacing w:val="-9"/>
          <w:szCs w:val="20"/>
        </w:rPr>
        <w:t xml:space="preserve"> </w:t>
      </w:r>
      <w:r w:rsidR="00654516" w:rsidRPr="00894840">
        <w:rPr>
          <w:rFonts w:cstheme="minorHAnsi"/>
          <w:color w:val="auto"/>
          <w:szCs w:val="20"/>
        </w:rPr>
        <w:t>but</w:t>
      </w:r>
      <w:r w:rsidR="00654516" w:rsidRPr="00894840">
        <w:rPr>
          <w:rFonts w:cstheme="minorHAnsi"/>
          <w:color w:val="auto"/>
          <w:spacing w:val="-8"/>
          <w:szCs w:val="20"/>
        </w:rPr>
        <w:t xml:space="preserve"> </w:t>
      </w:r>
      <w:r w:rsidR="00654516" w:rsidRPr="00894840">
        <w:rPr>
          <w:rFonts w:cstheme="minorHAnsi"/>
          <w:color w:val="auto"/>
          <w:szCs w:val="20"/>
        </w:rPr>
        <w:t>not</w:t>
      </w:r>
      <w:r w:rsidR="00654516" w:rsidRPr="00894840">
        <w:rPr>
          <w:rFonts w:cstheme="minorHAnsi"/>
          <w:color w:val="auto"/>
          <w:spacing w:val="-8"/>
          <w:szCs w:val="20"/>
        </w:rPr>
        <w:t xml:space="preserve"> </w:t>
      </w:r>
      <w:r w:rsidR="00654516" w:rsidRPr="00894840">
        <w:rPr>
          <w:rFonts w:cstheme="minorHAnsi"/>
          <w:color w:val="auto"/>
          <w:szCs w:val="20"/>
        </w:rPr>
        <w:t>exceeding,</w:t>
      </w:r>
      <w:r w:rsidR="00654516" w:rsidRPr="00894840">
        <w:rPr>
          <w:rFonts w:cstheme="minorHAnsi"/>
          <w:color w:val="auto"/>
          <w:spacing w:val="-11"/>
          <w:szCs w:val="20"/>
        </w:rPr>
        <w:t xml:space="preserve"> </w:t>
      </w:r>
      <w:r w:rsidR="00654516" w:rsidRPr="00894840">
        <w:rPr>
          <w:rFonts w:cstheme="minorHAnsi"/>
          <w:color w:val="auto"/>
          <w:szCs w:val="20"/>
        </w:rPr>
        <w:t>the</w:t>
      </w:r>
      <w:r w:rsidR="00654516" w:rsidRPr="00894840">
        <w:rPr>
          <w:rFonts w:cstheme="minorHAnsi"/>
          <w:color w:val="auto"/>
          <w:spacing w:val="-8"/>
          <w:szCs w:val="20"/>
        </w:rPr>
        <w:t xml:space="preserve"> </w:t>
      </w:r>
      <w:r w:rsidR="00654516" w:rsidRPr="00894840">
        <w:rPr>
          <w:rFonts w:cstheme="minorHAnsi"/>
          <w:color w:val="auto"/>
          <w:szCs w:val="20"/>
        </w:rPr>
        <w:t>applicable</w:t>
      </w:r>
      <w:r w:rsidR="00654516" w:rsidRPr="00894840">
        <w:rPr>
          <w:rFonts w:cstheme="minorHAnsi"/>
          <w:color w:val="auto"/>
          <w:spacing w:val="-8"/>
          <w:szCs w:val="20"/>
        </w:rPr>
        <w:t xml:space="preserve"> </w:t>
      </w:r>
      <w:r w:rsidR="00654516" w:rsidRPr="00894840">
        <w:rPr>
          <w:rFonts w:cstheme="minorHAnsi"/>
          <w:color w:val="auto"/>
          <w:szCs w:val="20"/>
        </w:rPr>
        <w:t>federal</w:t>
      </w:r>
      <w:r w:rsidR="00654516" w:rsidRPr="00894840">
        <w:rPr>
          <w:rFonts w:cstheme="minorHAnsi"/>
          <w:color w:val="auto"/>
          <w:spacing w:val="-6"/>
          <w:szCs w:val="20"/>
        </w:rPr>
        <w:t xml:space="preserve"> </w:t>
      </w:r>
      <w:r w:rsidR="00654516" w:rsidRPr="00894840">
        <w:rPr>
          <w:rFonts w:cstheme="minorHAnsi"/>
          <w:color w:val="auto"/>
          <w:szCs w:val="20"/>
        </w:rPr>
        <w:t>position limit</w:t>
      </w:r>
      <w:r w:rsidR="000178D0" w:rsidRPr="00894840">
        <w:rPr>
          <w:rFonts w:cstheme="minorHAnsi"/>
          <w:color w:val="auto"/>
          <w:szCs w:val="20"/>
        </w:rPr>
        <w:t xml:space="preserve"> for which an exemption has been granted by the Exchange</w:t>
      </w:r>
      <w:r w:rsidR="00914D8B" w:rsidRPr="00894840">
        <w:rPr>
          <w:rFonts w:cstheme="minorHAnsi"/>
          <w:color w:val="auto"/>
          <w:szCs w:val="20"/>
        </w:rPr>
        <w:t>, and (iv) financial distress positions: (A) for Commodities not subject to position limits under CFTC Regulation 150.2 or (B) for those Commodities that are subject to federal position limits under CFTC 150.2 and CFTC Regulation 150.3(a)(3)</w:t>
      </w:r>
      <w:r w:rsidR="000178D0" w:rsidRPr="00894840">
        <w:rPr>
          <w:rFonts w:cstheme="minorHAnsi"/>
          <w:color w:val="auto"/>
          <w:szCs w:val="20"/>
        </w:rPr>
        <w:t>.</w:t>
      </w:r>
    </w:p>
    <w:p w14:paraId="60C0028A" w14:textId="77777777" w:rsidR="0047723C" w:rsidRPr="00894840" w:rsidRDefault="0047723C" w:rsidP="00894840">
      <w:pPr>
        <w:jc w:val="both"/>
        <w:rPr>
          <w:color w:val="auto"/>
          <w:szCs w:val="20"/>
        </w:rPr>
      </w:pPr>
    </w:p>
    <w:p w14:paraId="412E432C" w14:textId="3066885A" w:rsidR="0047723C" w:rsidRPr="00894840" w:rsidRDefault="0047723C" w:rsidP="00894840">
      <w:pPr>
        <w:numPr>
          <w:ilvl w:val="0"/>
          <w:numId w:val="1"/>
        </w:numPr>
        <w:spacing w:line="240" w:lineRule="auto"/>
        <w:jc w:val="both"/>
        <w:rPr>
          <w:color w:val="auto"/>
        </w:rPr>
      </w:pPr>
      <w:r w:rsidRPr="00894840">
        <w:rPr>
          <w:color w:val="auto"/>
        </w:rPr>
        <w:t>To be eligible for an exemption to the</w:t>
      </w:r>
      <w:r w:rsidR="00B3462D" w:rsidRPr="00894840">
        <w:rPr>
          <w:color w:val="auto"/>
        </w:rPr>
        <w:t xml:space="preserve"> </w:t>
      </w:r>
      <w:r w:rsidRPr="00894840">
        <w:rPr>
          <w:color w:val="auto"/>
        </w:rPr>
        <w:t xml:space="preserve">position limit </w:t>
      </w:r>
      <w:r w:rsidR="00B3462D" w:rsidRPr="00894840">
        <w:rPr>
          <w:color w:val="auto"/>
        </w:rPr>
        <w:t>r</w:t>
      </w:r>
      <w:r w:rsidRPr="00894840">
        <w:rPr>
          <w:color w:val="auto"/>
        </w:rPr>
        <w:t>ules of the Exchange, a written request, in the form provided by the Exchange, must be submitted to the Market Surveillance Department.</w:t>
      </w:r>
    </w:p>
    <w:p w14:paraId="26D3BD10" w14:textId="77777777" w:rsidR="0047723C" w:rsidRPr="00894840" w:rsidRDefault="0047723C" w:rsidP="00894840">
      <w:pPr>
        <w:jc w:val="both"/>
        <w:rPr>
          <w:color w:val="auto"/>
        </w:rPr>
      </w:pPr>
    </w:p>
    <w:p w14:paraId="2408CCA1" w14:textId="01A64C51" w:rsidR="0047723C" w:rsidRPr="00894840" w:rsidRDefault="0047723C" w:rsidP="00894840">
      <w:pPr>
        <w:numPr>
          <w:ilvl w:val="0"/>
          <w:numId w:val="1"/>
        </w:numPr>
        <w:spacing w:line="240" w:lineRule="auto"/>
        <w:jc w:val="both"/>
        <w:rPr>
          <w:color w:val="auto"/>
        </w:rPr>
      </w:pPr>
      <w:r w:rsidRPr="00894840">
        <w:rPr>
          <w:color w:val="auto"/>
        </w:rPr>
        <w:t>To apply for an exemption for a position which may include a combination of hedge and spread positions, please be aware that the position limits which are requested in answer to question 2 below should reflect the total position limit which the Applicant may require.  In answering question 3, please provide details regarding what portion of the position may include spread positions.</w:t>
      </w:r>
    </w:p>
    <w:p w14:paraId="36C81620" w14:textId="77777777" w:rsidR="00B3462D" w:rsidRPr="00894840" w:rsidRDefault="00B3462D" w:rsidP="00894840">
      <w:pPr>
        <w:pStyle w:val="ListParagraph"/>
        <w:jc w:val="both"/>
        <w:rPr>
          <w:color w:val="auto"/>
        </w:rPr>
      </w:pPr>
    </w:p>
    <w:p w14:paraId="3505A650" w14:textId="77777777" w:rsidR="00B3462D" w:rsidRPr="00A42A8E" w:rsidRDefault="00B3462D" w:rsidP="00A42A8E">
      <w:pPr>
        <w:pStyle w:val="ColorfulList-Accent11"/>
        <w:widowControl/>
        <w:numPr>
          <w:ilvl w:val="0"/>
          <w:numId w:val="1"/>
        </w:numPr>
        <w:jc w:val="both"/>
        <w:rPr>
          <w:rFonts w:ascii="Arial" w:hAnsi="Arial" w:cs="Arial"/>
          <w:sz w:val="20"/>
          <w:szCs w:val="20"/>
        </w:rPr>
      </w:pPr>
      <w:r w:rsidRPr="00A42A8E">
        <w:rPr>
          <w:rFonts w:ascii="Arial" w:hAnsi="Arial" w:cs="Arial"/>
          <w:sz w:val="20"/>
          <w:szCs w:val="20"/>
        </w:rPr>
        <w:t>Position limits are effective on both an inter-day and intra-day basis and a Person may not hold a position above the limit at any time without having an exemption.</w:t>
      </w:r>
    </w:p>
    <w:p w14:paraId="009F10B6" w14:textId="77777777" w:rsidR="0047723C" w:rsidRPr="00894840" w:rsidRDefault="0047723C" w:rsidP="00894840">
      <w:pPr>
        <w:jc w:val="both"/>
        <w:rPr>
          <w:color w:val="auto"/>
        </w:rPr>
      </w:pPr>
    </w:p>
    <w:p w14:paraId="44441307" w14:textId="77777777" w:rsidR="0047723C" w:rsidRPr="00894840" w:rsidRDefault="0047723C" w:rsidP="00894840">
      <w:pPr>
        <w:jc w:val="both"/>
        <w:rPr>
          <w:color w:val="auto"/>
        </w:rPr>
      </w:pPr>
    </w:p>
    <w:p w14:paraId="3A1D7979" w14:textId="77777777" w:rsidR="00194E60" w:rsidRDefault="00194E60" w:rsidP="0047723C"/>
    <w:p w14:paraId="73F88115" w14:textId="77777777" w:rsidR="0047723C" w:rsidRPr="00894840" w:rsidRDefault="0047723C" w:rsidP="0047723C">
      <w:pPr>
        <w:jc w:val="center"/>
        <w:rPr>
          <w:b/>
          <w:color w:val="auto"/>
        </w:rPr>
      </w:pPr>
      <w:r>
        <w:br w:type="page"/>
      </w:r>
      <w:r w:rsidRPr="00894840">
        <w:rPr>
          <w:b/>
          <w:color w:val="auto"/>
        </w:rPr>
        <w:lastRenderedPageBreak/>
        <w:t>ICE FUTURES U.S.</w:t>
      </w:r>
    </w:p>
    <w:p w14:paraId="1F7CF02D" w14:textId="77777777" w:rsidR="0047723C" w:rsidRPr="00894840" w:rsidRDefault="0047723C" w:rsidP="0047723C">
      <w:pPr>
        <w:jc w:val="center"/>
        <w:rPr>
          <w:b/>
          <w:color w:val="auto"/>
        </w:rPr>
      </w:pPr>
      <w:r w:rsidRPr="00894840">
        <w:rPr>
          <w:b/>
          <w:color w:val="auto"/>
        </w:rPr>
        <w:t>REQUEST FOR EXEMPTION FROM POSITION LIMITS FOR</w:t>
      </w:r>
    </w:p>
    <w:p w14:paraId="1716B741" w14:textId="77777777" w:rsidR="0047723C" w:rsidRPr="00894840" w:rsidRDefault="0047723C" w:rsidP="0047723C">
      <w:pPr>
        <w:jc w:val="center"/>
        <w:rPr>
          <w:b/>
          <w:color w:val="auto"/>
        </w:rPr>
      </w:pPr>
      <w:r w:rsidRPr="00894840">
        <w:rPr>
          <w:b/>
          <w:color w:val="auto"/>
        </w:rPr>
        <w:t>NOTICE PERIOD OR SPOT MONTH</w:t>
      </w:r>
    </w:p>
    <w:p w14:paraId="5D810856" w14:textId="77777777" w:rsidR="0047723C" w:rsidRPr="00894840" w:rsidRDefault="0047723C" w:rsidP="0047723C">
      <w:pPr>
        <w:rPr>
          <w:color w:val="auto"/>
        </w:rPr>
      </w:pPr>
    </w:p>
    <w:p w14:paraId="3A29AF46" w14:textId="77777777" w:rsidR="0047723C" w:rsidRPr="00894840" w:rsidRDefault="0047723C" w:rsidP="0047723C">
      <w:pPr>
        <w:rPr>
          <w:color w:val="auto"/>
        </w:rPr>
      </w:pPr>
    </w:p>
    <w:p w14:paraId="6C35D6B6" w14:textId="77777777" w:rsidR="0047723C" w:rsidRPr="00894840" w:rsidRDefault="0047723C" w:rsidP="0047723C">
      <w:pPr>
        <w:rPr>
          <w:color w:val="auto"/>
        </w:rPr>
      </w:pPr>
      <w:r w:rsidRPr="00894840">
        <w:rPr>
          <w:color w:val="auto"/>
        </w:rPr>
        <w:t>1.</w:t>
      </w:r>
      <w:r w:rsidRPr="00894840">
        <w:rPr>
          <w:color w:val="auto"/>
        </w:rPr>
        <w:tab/>
        <w:t>Name of Applicant: _______________________________________________________</w:t>
      </w:r>
    </w:p>
    <w:p w14:paraId="687AEC7D" w14:textId="77777777" w:rsidR="0047723C" w:rsidRPr="00894840" w:rsidRDefault="0047723C" w:rsidP="0047723C">
      <w:pPr>
        <w:rPr>
          <w:color w:val="auto"/>
        </w:rPr>
      </w:pPr>
    </w:p>
    <w:p w14:paraId="4ECF78A9" w14:textId="10238FAC" w:rsidR="0047723C" w:rsidRPr="00894840" w:rsidRDefault="0047723C" w:rsidP="0047723C">
      <w:pPr>
        <w:rPr>
          <w:color w:val="auto"/>
        </w:rPr>
      </w:pPr>
      <w:r w:rsidRPr="00894840">
        <w:rPr>
          <w:color w:val="auto"/>
        </w:rPr>
        <w:tab/>
      </w:r>
      <w:r w:rsidR="00214949">
        <w:rPr>
          <w:color w:val="auto"/>
        </w:rPr>
        <w:t>Address</w:t>
      </w:r>
      <w:r w:rsidRPr="00894840">
        <w:rPr>
          <w:color w:val="auto"/>
        </w:rPr>
        <w:t>:________________________________________________________________</w:t>
      </w:r>
    </w:p>
    <w:p w14:paraId="0854D1E6" w14:textId="77777777" w:rsidR="0047723C" w:rsidRPr="00894840" w:rsidRDefault="0047723C" w:rsidP="0047723C">
      <w:pPr>
        <w:rPr>
          <w:color w:val="auto"/>
        </w:rPr>
      </w:pPr>
    </w:p>
    <w:p w14:paraId="39052A9D" w14:textId="77777777" w:rsidR="0047723C" w:rsidRPr="00894840" w:rsidRDefault="0047723C" w:rsidP="0047723C">
      <w:pPr>
        <w:rPr>
          <w:color w:val="auto"/>
        </w:rPr>
      </w:pPr>
      <w:r w:rsidRPr="00894840">
        <w:rPr>
          <w:color w:val="auto"/>
        </w:rPr>
        <w:tab/>
        <w:t>City: ________________________________ State/Country: ______________________</w:t>
      </w:r>
    </w:p>
    <w:p w14:paraId="16409C82" w14:textId="77777777" w:rsidR="0047723C" w:rsidRPr="00894840" w:rsidRDefault="0047723C" w:rsidP="0047723C">
      <w:pPr>
        <w:rPr>
          <w:color w:val="auto"/>
        </w:rPr>
      </w:pPr>
    </w:p>
    <w:p w14:paraId="47C0E80A" w14:textId="77777777" w:rsidR="0047723C" w:rsidRPr="00894840" w:rsidRDefault="0047723C" w:rsidP="0047723C">
      <w:pPr>
        <w:rPr>
          <w:color w:val="auto"/>
        </w:rPr>
      </w:pPr>
      <w:r w:rsidRPr="00894840">
        <w:rPr>
          <w:color w:val="auto"/>
        </w:rPr>
        <w:tab/>
        <w:t>Zip/Postal Code: ______________________</w:t>
      </w:r>
    </w:p>
    <w:p w14:paraId="4E92A60B" w14:textId="77777777" w:rsidR="0047723C" w:rsidRPr="00894840" w:rsidRDefault="0047723C" w:rsidP="0047723C">
      <w:pPr>
        <w:rPr>
          <w:color w:val="auto"/>
        </w:rPr>
      </w:pPr>
    </w:p>
    <w:p w14:paraId="6AF8C8BD" w14:textId="77777777" w:rsidR="0047723C" w:rsidRPr="00894840" w:rsidRDefault="0047723C" w:rsidP="0047723C">
      <w:pPr>
        <w:rPr>
          <w:color w:val="auto"/>
        </w:rPr>
      </w:pPr>
      <w:r w:rsidRPr="00894840">
        <w:rPr>
          <w:color w:val="auto"/>
        </w:rPr>
        <w:tab/>
        <w:t>Phone: __________________________________________________________</w:t>
      </w:r>
    </w:p>
    <w:p w14:paraId="6539E535" w14:textId="77777777" w:rsidR="0047723C" w:rsidRPr="00894840" w:rsidRDefault="0047723C" w:rsidP="0047723C">
      <w:pPr>
        <w:rPr>
          <w:color w:val="auto"/>
        </w:rPr>
      </w:pPr>
    </w:p>
    <w:p w14:paraId="791B0754" w14:textId="77777777" w:rsidR="0047723C" w:rsidRPr="00894840" w:rsidRDefault="0047723C" w:rsidP="0047723C">
      <w:pPr>
        <w:rPr>
          <w:color w:val="auto"/>
        </w:rPr>
      </w:pPr>
      <w:r w:rsidRPr="00894840">
        <w:rPr>
          <w:color w:val="auto"/>
        </w:rPr>
        <w:tab/>
        <w:t>E-mail Address: ___________________________________________________</w:t>
      </w:r>
    </w:p>
    <w:p w14:paraId="1CF522FF" w14:textId="77777777" w:rsidR="0047723C" w:rsidRPr="00894840" w:rsidRDefault="0047723C" w:rsidP="0047723C">
      <w:pPr>
        <w:rPr>
          <w:color w:val="auto"/>
        </w:rPr>
      </w:pPr>
    </w:p>
    <w:p w14:paraId="034C3F52" w14:textId="1080307A" w:rsidR="0047723C" w:rsidRPr="00894840" w:rsidRDefault="0047723C" w:rsidP="0047723C">
      <w:pPr>
        <w:ind w:left="720" w:hanging="720"/>
        <w:rPr>
          <w:color w:val="auto"/>
        </w:rPr>
      </w:pPr>
      <w:r w:rsidRPr="00894840">
        <w:rPr>
          <w:color w:val="auto"/>
        </w:rPr>
        <w:t>2.</w:t>
      </w:r>
      <w:r w:rsidRPr="00894840">
        <w:rPr>
          <w:color w:val="auto"/>
        </w:rPr>
        <w:tab/>
        <w:t xml:space="preserve">What </w:t>
      </w:r>
      <w:r w:rsidR="00214949">
        <w:rPr>
          <w:color w:val="auto"/>
        </w:rPr>
        <w:t xml:space="preserve">spot month (or </w:t>
      </w:r>
      <w:r w:rsidRPr="00894840">
        <w:rPr>
          <w:color w:val="auto"/>
        </w:rPr>
        <w:t>notice period</w:t>
      </w:r>
      <w:r w:rsidR="00214949">
        <w:rPr>
          <w:color w:val="auto"/>
        </w:rPr>
        <w:t>)</w:t>
      </w:r>
      <w:r w:rsidRPr="00894840">
        <w:rPr>
          <w:color w:val="auto"/>
        </w:rPr>
        <w:t xml:space="preserve"> position limits are needed for the Applicant’s </w:t>
      </w:r>
      <w:r w:rsidR="001C3307" w:rsidRPr="00894840">
        <w:rPr>
          <w:color w:val="auto"/>
        </w:rPr>
        <w:t xml:space="preserve">bona fide </w:t>
      </w:r>
      <w:r w:rsidRPr="00894840">
        <w:rPr>
          <w:color w:val="auto"/>
        </w:rPr>
        <w:t>hedging</w:t>
      </w:r>
      <w:r w:rsidR="00D865EC" w:rsidRPr="00894840" w:rsidDel="00D865EC">
        <w:rPr>
          <w:color w:val="auto"/>
        </w:rPr>
        <w:t xml:space="preserve"> </w:t>
      </w:r>
      <w:r w:rsidR="00D865EC" w:rsidRPr="00894840">
        <w:rPr>
          <w:color w:val="auto"/>
        </w:rPr>
        <w:t>or</w:t>
      </w:r>
      <w:r w:rsidRPr="00894840">
        <w:rPr>
          <w:color w:val="auto"/>
        </w:rPr>
        <w:t xml:space="preserve"> spread requirements?</w:t>
      </w:r>
    </w:p>
    <w:p w14:paraId="1F25E67C" w14:textId="77777777" w:rsidR="0047723C" w:rsidRPr="00894840" w:rsidRDefault="0047723C" w:rsidP="0047723C">
      <w:pPr>
        <w:ind w:left="360"/>
        <w:rPr>
          <w:color w:val="auto"/>
        </w:rPr>
      </w:pPr>
    </w:p>
    <w:p w14:paraId="0C07F7A6" w14:textId="77777777" w:rsidR="0047723C" w:rsidRPr="00894840" w:rsidRDefault="0047723C" w:rsidP="0047723C">
      <w:pPr>
        <w:ind w:left="720"/>
        <w:rPr>
          <w:color w:val="auto"/>
        </w:rPr>
      </w:pPr>
      <w:r w:rsidRPr="00894840">
        <w:rPr>
          <w:color w:val="auto"/>
        </w:rPr>
        <w:t>Commodity and Contract Month: ____________________________________________</w:t>
      </w:r>
    </w:p>
    <w:p w14:paraId="28B44232" w14:textId="77777777" w:rsidR="0047723C" w:rsidRPr="00894840" w:rsidRDefault="0047723C" w:rsidP="0047723C">
      <w:pPr>
        <w:ind w:left="720"/>
        <w:rPr>
          <w:color w:val="auto"/>
        </w:rPr>
      </w:pPr>
    </w:p>
    <w:p w14:paraId="265C360F" w14:textId="77777777" w:rsidR="0047723C" w:rsidRPr="00894840" w:rsidRDefault="0047723C" w:rsidP="0047723C">
      <w:pPr>
        <w:ind w:left="720"/>
        <w:rPr>
          <w:color w:val="auto"/>
        </w:rPr>
      </w:pPr>
      <w:r w:rsidRPr="00894840">
        <w:rPr>
          <w:color w:val="auto"/>
        </w:rPr>
        <w:t>Long position during upcoming period: _______________________________________</w:t>
      </w:r>
    </w:p>
    <w:p w14:paraId="3A929246" w14:textId="77777777" w:rsidR="0047723C" w:rsidRPr="00894840" w:rsidRDefault="0047723C" w:rsidP="0047723C">
      <w:pPr>
        <w:ind w:left="720"/>
        <w:rPr>
          <w:color w:val="auto"/>
        </w:rPr>
      </w:pPr>
    </w:p>
    <w:p w14:paraId="24026372" w14:textId="77777777" w:rsidR="0047723C" w:rsidRPr="00894840" w:rsidRDefault="0047723C" w:rsidP="0047723C">
      <w:pPr>
        <w:ind w:left="720"/>
        <w:rPr>
          <w:color w:val="auto"/>
        </w:rPr>
      </w:pPr>
      <w:r w:rsidRPr="00894840">
        <w:rPr>
          <w:color w:val="auto"/>
        </w:rPr>
        <w:t>Short position during upcoming period: _______________________________________</w:t>
      </w:r>
    </w:p>
    <w:p w14:paraId="0AADC1FE" w14:textId="77777777" w:rsidR="0047723C" w:rsidRPr="00894840" w:rsidRDefault="0047723C" w:rsidP="0047723C">
      <w:pPr>
        <w:ind w:left="720"/>
        <w:rPr>
          <w:color w:val="auto"/>
        </w:rPr>
      </w:pPr>
    </w:p>
    <w:p w14:paraId="46F7DBE1" w14:textId="0CA32F76" w:rsidR="0047723C" w:rsidRPr="00894840" w:rsidRDefault="0047723C" w:rsidP="0047723C">
      <w:pPr>
        <w:rPr>
          <w:color w:val="auto"/>
          <w:u w:val="single"/>
        </w:rPr>
      </w:pPr>
      <w:r w:rsidRPr="00894840">
        <w:rPr>
          <w:color w:val="auto"/>
        </w:rPr>
        <w:t>3</w:t>
      </w:r>
      <w:r w:rsidR="00524743" w:rsidRPr="00894840">
        <w:rPr>
          <w:color w:val="auto"/>
        </w:rPr>
        <w:t>.</w:t>
      </w:r>
      <w:r w:rsidRPr="00894840">
        <w:rPr>
          <w:color w:val="auto"/>
        </w:rPr>
        <w:t xml:space="preserve"> a</w:t>
      </w:r>
      <w:r w:rsidR="00524743" w:rsidRPr="00894840">
        <w:rPr>
          <w:color w:val="auto"/>
        </w:rPr>
        <w:t>.</w:t>
      </w:r>
      <w:r w:rsidRPr="00894840">
        <w:rPr>
          <w:color w:val="auto"/>
        </w:rPr>
        <w:tab/>
      </w:r>
      <w:r w:rsidRPr="00894840">
        <w:rPr>
          <w:color w:val="auto"/>
          <w:u w:val="single"/>
        </w:rPr>
        <w:t>Exemption for Bona Fide Hedge</w:t>
      </w:r>
    </w:p>
    <w:p w14:paraId="2DBB1FD4" w14:textId="77777777" w:rsidR="0047723C" w:rsidRPr="00894840" w:rsidRDefault="0047723C" w:rsidP="0047723C">
      <w:pPr>
        <w:rPr>
          <w:color w:val="auto"/>
        </w:rPr>
      </w:pPr>
    </w:p>
    <w:p w14:paraId="5885F877" w14:textId="77777777" w:rsidR="00D865EC" w:rsidRPr="00894840" w:rsidRDefault="00D865EC" w:rsidP="00894840">
      <w:pPr>
        <w:ind w:left="720"/>
        <w:jc w:val="both"/>
        <w:rPr>
          <w:color w:val="auto"/>
        </w:rPr>
      </w:pPr>
      <w:r w:rsidRPr="00894840">
        <w:rPr>
          <w:color w:val="auto"/>
        </w:rPr>
        <w:t xml:space="preserve">For all applications for exemption(s) from position limits related to a bona fide hedging transaction or position, such transaction or position must: </w:t>
      </w:r>
    </w:p>
    <w:p w14:paraId="2699D5E8" w14:textId="77777777" w:rsidR="00D865EC" w:rsidRPr="00894840" w:rsidRDefault="00D865EC" w:rsidP="00894840">
      <w:pPr>
        <w:ind w:left="720"/>
        <w:jc w:val="both"/>
        <w:rPr>
          <w:color w:val="auto"/>
        </w:rPr>
      </w:pPr>
    </w:p>
    <w:p w14:paraId="76AFF59A" w14:textId="442F7742" w:rsidR="00D865EC" w:rsidRPr="00894840" w:rsidRDefault="00D865EC" w:rsidP="00894840">
      <w:pPr>
        <w:ind w:left="720"/>
        <w:jc w:val="both"/>
        <w:rPr>
          <w:color w:val="auto"/>
        </w:rPr>
      </w:pPr>
      <w:r w:rsidRPr="00894840">
        <w:rPr>
          <w:color w:val="auto"/>
        </w:rPr>
        <w:t>(i)</w:t>
      </w:r>
      <w:r w:rsidRPr="00894840">
        <w:rPr>
          <w:color w:val="auto"/>
        </w:rPr>
        <w:tab/>
        <w:t>represent a substitute for transactions made or to be made, or positions taken or to be taken, at a later time in a physical marketing channel</w:t>
      </w:r>
      <w:r w:rsidR="00894840">
        <w:rPr>
          <w:color w:val="auto"/>
        </w:rPr>
        <w:t>; and</w:t>
      </w:r>
      <w:r w:rsidRPr="00894840">
        <w:rPr>
          <w:color w:val="auto"/>
        </w:rPr>
        <w:t xml:space="preserve"> </w:t>
      </w:r>
    </w:p>
    <w:p w14:paraId="576E0A5B" w14:textId="77777777" w:rsidR="00D865EC" w:rsidRPr="00894840" w:rsidRDefault="00D865EC" w:rsidP="00894840">
      <w:pPr>
        <w:ind w:left="720"/>
        <w:jc w:val="both"/>
        <w:rPr>
          <w:color w:val="auto"/>
        </w:rPr>
      </w:pPr>
    </w:p>
    <w:p w14:paraId="3390372D" w14:textId="7E337068" w:rsidR="00D865EC" w:rsidRPr="00894840" w:rsidRDefault="00D865EC" w:rsidP="00894840">
      <w:pPr>
        <w:ind w:left="720"/>
        <w:jc w:val="both"/>
        <w:rPr>
          <w:color w:val="auto"/>
        </w:rPr>
      </w:pPr>
      <w:r w:rsidRPr="00894840">
        <w:rPr>
          <w:color w:val="auto"/>
        </w:rPr>
        <w:t>(ii)</w:t>
      </w:r>
      <w:r w:rsidRPr="00894840">
        <w:rPr>
          <w:color w:val="auto"/>
        </w:rPr>
        <w:tab/>
        <w:t xml:space="preserve">the position is economically appropriate to the reduction of price risks in the conduct and management of a commercial enterprise; and arises from the potential change in the value of any of the exposures provided in CFTC Regulation </w:t>
      </w:r>
      <w:r w:rsidR="00894840" w:rsidRPr="00894840">
        <w:rPr>
          <w:color w:val="auto"/>
        </w:rPr>
        <w:t>150.1 or</w:t>
      </w:r>
      <w:r w:rsidRPr="00894840">
        <w:rPr>
          <w:color w:val="auto"/>
        </w:rPr>
        <w:t xml:space="preserve"> is otherwise consistent with the definition of bona fide hedging transaction or position in CFTC Regulation 150.1.</w:t>
      </w:r>
    </w:p>
    <w:p w14:paraId="3EA18553" w14:textId="77777777" w:rsidR="00D865EC" w:rsidRPr="00894840" w:rsidRDefault="00D865EC" w:rsidP="00894840">
      <w:pPr>
        <w:ind w:left="720"/>
        <w:jc w:val="both"/>
        <w:rPr>
          <w:color w:val="auto"/>
        </w:rPr>
      </w:pPr>
    </w:p>
    <w:p w14:paraId="2040CD59" w14:textId="5584A209" w:rsidR="00D865EC" w:rsidRPr="00894840" w:rsidRDefault="00D865EC" w:rsidP="00894840">
      <w:pPr>
        <w:ind w:left="720"/>
        <w:jc w:val="both"/>
        <w:rPr>
          <w:color w:val="auto"/>
        </w:rPr>
      </w:pPr>
      <w:r w:rsidRPr="00894840">
        <w:rPr>
          <w:color w:val="auto"/>
        </w:rPr>
        <w:t>(iii)</w:t>
      </w:r>
      <w:r w:rsidRPr="00894840">
        <w:rPr>
          <w:color w:val="auto"/>
        </w:rPr>
        <w:tab/>
        <w:t>For applications based on hedges of anticipatory exposures: the exemption(s) requested must not exceed the amount of the applicable anticipated exposures of the cash commodity.</w:t>
      </w:r>
    </w:p>
    <w:p w14:paraId="5D00E35A" w14:textId="77777777" w:rsidR="00D865EC" w:rsidRPr="00894840" w:rsidRDefault="00D865EC" w:rsidP="00894840">
      <w:pPr>
        <w:ind w:left="720"/>
        <w:jc w:val="both"/>
        <w:rPr>
          <w:color w:val="auto"/>
        </w:rPr>
      </w:pPr>
    </w:p>
    <w:p w14:paraId="69EDD0C3" w14:textId="31B65EDB" w:rsidR="008B78BB" w:rsidRDefault="00D271A9" w:rsidP="008B78BB">
      <w:pPr>
        <w:ind w:left="720"/>
        <w:jc w:val="both"/>
        <w:rPr>
          <w:color w:val="auto"/>
        </w:rPr>
      </w:pPr>
      <w:r w:rsidRPr="00894840">
        <w:rPr>
          <w:color w:val="auto"/>
        </w:rPr>
        <w:t>Please p</w:t>
      </w:r>
      <w:r w:rsidR="0047723C" w:rsidRPr="00894840">
        <w:rPr>
          <w:color w:val="auto"/>
        </w:rPr>
        <w:t xml:space="preserve">rovide specific information which will demonstrate that the proposed positions are bona fide hedging positions </w:t>
      </w:r>
      <w:r w:rsidR="001C3307" w:rsidRPr="00894840">
        <w:rPr>
          <w:color w:val="auto"/>
        </w:rPr>
        <w:t xml:space="preserve">as defined in CFTC Regulation 150.1 </w:t>
      </w:r>
      <w:r w:rsidR="0047723C" w:rsidRPr="00894840">
        <w:rPr>
          <w:color w:val="auto"/>
        </w:rPr>
        <w:t xml:space="preserve">and consistent with </w:t>
      </w:r>
      <w:r w:rsidR="003B101B" w:rsidRPr="00894840">
        <w:rPr>
          <w:color w:val="auto"/>
        </w:rPr>
        <w:t>hedging</w:t>
      </w:r>
      <w:r w:rsidR="0047723C" w:rsidRPr="00894840">
        <w:rPr>
          <w:color w:val="auto"/>
        </w:rPr>
        <w:t xml:space="preserve"> strategies for the relevant commercial market.  In particular, describe the size and nature of the </w:t>
      </w:r>
      <w:r w:rsidR="000178D0" w:rsidRPr="00894840">
        <w:rPr>
          <w:color w:val="auto"/>
        </w:rPr>
        <w:t xml:space="preserve">offsetting </w:t>
      </w:r>
      <w:r w:rsidR="0047723C" w:rsidRPr="00894840">
        <w:rPr>
          <w:color w:val="auto"/>
        </w:rPr>
        <w:t>cash transactions</w:t>
      </w:r>
      <w:r w:rsidR="000178D0" w:rsidRPr="00894840">
        <w:rPr>
          <w:color w:val="auto"/>
        </w:rPr>
        <w:t xml:space="preserve">, </w:t>
      </w:r>
      <w:r w:rsidR="0047723C" w:rsidRPr="00894840">
        <w:rPr>
          <w:color w:val="auto"/>
        </w:rPr>
        <w:t xml:space="preserve">physical positions </w:t>
      </w:r>
      <w:r w:rsidR="000178D0" w:rsidRPr="00894840">
        <w:rPr>
          <w:color w:val="auto"/>
        </w:rPr>
        <w:t xml:space="preserve">and swaps </w:t>
      </w:r>
      <w:r w:rsidR="0047723C" w:rsidRPr="00894840">
        <w:rPr>
          <w:color w:val="auto"/>
        </w:rPr>
        <w:t xml:space="preserve">to be hedged </w:t>
      </w:r>
      <w:r w:rsidR="0047723C" w:rsidRPr="00894840">
        <w:rPr>
          <w:color w:val="auto"/>
        </w:rPr>
        <w:lastRenderedPageBreak/>
        <w:t>including information about the pricing structure of the cash transactions.  Also include information about delivery intentions and capability.  (Attach separate sheet, if necessary</w:t>
      </w:r>
      <w:r w:rsidR="008B78BB">
        <w:rPr>
          <w:color w:val="auto"/>
        </w:rPr>
        <w:t>)</w:t>
      </w:r>
      <w:r w:rsidR="0047723C" w:rsidRPr="00894840">
        <w:rPr>
          <w:color w:val="auto"/>
        </w:rPr>
        <w:t>.</w:t>
      </w:r>
      <w:r w:rsidR="008B78BB" w:rsidRPr="008B78BB">
        <w:rPr>
          <w:color w:val="auto"/>
        </w:rPr>
        <w:t xml:space="preserve"> </w:t>
      </w:r>
    </w:p>
    <w:p w14:paraId="44DC840A" w14:textId="77777777" w:rsidR="008B78BB" w:rsidRDefault="008B78BB" w:rsidP="008B78BB">
      <w:pPr>
        <w:ind w:left="720"/>
        <w:jc w:val="both"/>
        <w:rPr>
          <w:color w:val="auto"/>
        </w:rPr>
      </w:pPr>
    </w:p>
    <w:p w14:paraId="49183AE6" w14:textId="06348AD9" w:rsidR="008B78BB" w:rsidRPr="008B78BB" w:rsidRDefault="008B78BB" w:rsidP="008B78BB">
      <w:pPr>
        <w:ind w:left="720"/>
        <w:jc w:val="both"/>
        <w:rPr>
          <w:color w:val="auto"/>
        </w:rPr>
      </w:pPr>
      <w:r>
        <w:rPr>
          <w:color w:val="auto"/>
        </w:rPr>
        <w:t xml:space="preserve">Please include </w:t>
      </w:r>
      <w:r w:rsidR="00894840">
        <w:rPr>
          <w:color w:val="auto"/>
        </w:rPr>
        <w:t>whether</w:t>
      </w:r>
      <w:r w:rsidRPr="008B78BB">
        <w:rPr>
          <w:color w:val="auto"/>
        </w:rPr>
        <w:t xml:space="preserve"> the cash market transactions described </w:t>
      </w:r>
      <w:r>
        <w:rPr>
          <w:color w:val="auto"/>
        </w:rPr>
        <w:t>within will</w:t>
      </w:r>
      <w:r w:rsidRPr="008B78BB">
        <w:rPr>
          <w:color w:val="auto"/>
        </w:rPr>
        <w:t xml:space="preserve"> take place during the delivery period for which the hedge exemption is required</w:t>
      </w:r>
      <w:r>
        <w:rPr>
          <w:color w:val="auto"/>
        </w:rPr>
        <w:t xml:space="preserve"> (i.e., Yes or No)</w:t>
      </w:r>
      <w:r w:rsidRPr="008B78BB">
        <w:rPr>
          <w:color w:val="auto"/>
        </w:rPr>
        <w:t>?</w:t>
      </w:r>
      <w:r>
        <w:rPr>
          <w:color w:val="auto"/>
        </w:rPr>
        <w:t xml:space="preserve"> If “No”</w:t>
      </w:r>
      <w:r w:rsidRPr="008B78BB">
        <w:rPr>
          <w:color w:val="auto"/>
        </w:rPr>
        <w:t>, explain why the exemption is required for this period.</w:t>
      </w:r>
    </w:p>
    <w:p w14:paraId="47CEDD61" w14:textId="5D8B17F6" w:rsidR="00D271A9" w:rsidRPr="00894840" w:rsidRDefault="00D271A9" w:rsidP="00894840">
      <w:pPr>
        <w:ind w:left="720"/>
        <w:jc w:val="both"/>
        <w:rPr>
          <w:color w:val="auto"/>
        </w:rPr>
      </w:pPr>
    </w:p>
    <w:p w14:paraId="15495C8A" w14:textId="77777777" w:rsidR="0047723C" w:rsidRPr="00894840" w:rsidRDefault="0047723C" w:rsidP="0047723C">
      <w:pPr>
        <w:ind w:left="720"/>
        <w:rPr>
          <w:color w:val="auto"/>
        </w:rPr>
      </w:pPr>
    </w:p>
    <w:p w14:paraId="3A6FE9B5" w14:textId="77777777" w:rsidR="0047723C" w:rsidRPr="00894840" w:rsidRDefault="0047723C" w:rsidP="0047723C">
      <w:pPr>
        <w:pBdr>
          <w:top w:val="single" w:sz="12" w:space="1" w:color="auto"/>
          <w:bottom w:val="single" w:sz="12" w:space="1" w:color="auto"/>
        </w:pBdr>
        <w:spacing w:line="480" w:lineRule="auto"/>
        <w:ind w:left="720"/>
        <w:rPr>
          <w:color w:val="auto"/>
        </w:rPr>
      </w:pPr>
    </w:p>
    <w:p w14:paraId="72659AD8" w14:textId="77777777" w:rsidR="0047723C" w:rsidRPr="00894840" w:rsidRDefault="0047723C" w:rsidP="0047723C">
      <w:pPr>
        <w:pBdr>
          <w:bottom w:val="single" w:sz="12" w:space="1" w:color="auto"/>
          <w:between w:val="single" w:sz="12" w:space="1" w:color="auto"/>
        </w:pBdr>
        <w:spacing w:line="480" w:lineRule="auto"/>
        <w:ind w:left="720"/>
        <w:rPr>
          <w:color w:val="auto"/>
        </w:rPr>
      </w:pPr>
    </w:p>
    <w:p w14:paraId="3EF2455B" w14:textId="77777777" w:rsidR="0047723C" w:rsidRPr="00894840" w:rsidRDefault="0047723C" w:rsidP="0047723C">
      <w:pPr>
        <w:pBdr>
          <w:bottom w:val="single" w:sz="12" w:space="1" w:color="auto"/>
          <w:between w:val="single" w:sz="12" w:space="1" w:color="auto"/>
        </w:pBdr>
        <w:spacing w:line="480" w:lineRule="auto"/>
        <w:ind w:left="720"/>
        <w:rPr>
          <w:color w:val="auto"/>
        </w:rPr>
      </w:pPr>
    </w:p>
    <w:p w14:paraId="6F5B9BAF" w14:textId="77777777" w:rsidR="0047723C" w:rsidRPr="00894840" w:rsidRDefault="0047723C" w:rsidP="0047723C">
      <w:pPr>
        <w:pBdr>
          <w:bottom w:val="single" w:sz="12" w:space="1" w:color="auto"/>
          <w:between w:val="single" w:sz="12" w:space="1" w:color="auto"/>
        </w:pBdr>
        <w:spacing w:line="480" w:lineRule="auto"/>
        <w:ind w:left="720"/>
        <w:rPr>
          <w:color w:val="auto"/>
        </w:rPr>
      </w:pPr>
    </w:p>
    <w:p w14:paraId="28706A6F" w14:textId="77777777" w:rsidR="0047723C" w:rsidRPr="00894840" w:rsidRDefault="0047723C" w:rsidP="0047723C">
      <w:pPr>
        <w:ind w:left="720"/>
        <w:rPr>
          <w:color w:val="auto"/>
        </w:rPr>
      </w:pPr>
    </w:p>
    <w:p w14:paraId="20BC7F77" w14:textId="54855733" w:rsidR="00D271A9" w:rsidRDefault="00D271A9" w:rsidP="0047723C">
      <w:pPr>
        <w:ind w:left="720"/>
        <w:rPr>
          <w:color w:val="auto"/>
        </w:rPr>
      </w:pPr>
    </w:p>
    <w:p w14:paraId="7DC5F980" w14:textId="54B63A71" w:rsidR="008B78BB" w:rsidRPr="00894840" w:rsidRDefault="008B78BB" w:rsidP="0047723C">
      <w:pPr>
        <w:ind w:left="720"/>
        <w:rPr>
          <w:color w:val="auto"/>
        </w:rPr>
      </w:pPr>
      <w:r w:rsidRPr="008B78BB">
        <w:rPr>
          <w:color w:val="auto"/>
        </w:rPr>
        <w:t xml:space="preserve">Additionally, </w:t>
      </w:r>
      <w:r>
        <w:rPr>
          <w:color w:val="auto"/>
        </w:rPr>
        <w:t xml:space="preserve">for all spot month position limit, </w:t>
      </w:r>
      <w:r w:rsidRPr="008B78BB">
        <w:rPr>
          <w:color w:val="auto"/>
        </w:rPr>
        <w:t xml:space="preserve">please detail the positions described </w:t>
      </w:r>
      <w:r>
        <w:rPr>
          <w:color w:val="auto"/>
        </w:rPr>
        <w:t xml:space="preserve">above </w:t>
      </w:r>
      <w:r w:rsidRPr="008B78BB">
        <w:rPr>
          <w:color w:val="auto"/>
        </w:rPr>
        <w:t xml:space="preserve">in the enumerated exemption categories </w:t>
      </w:r>
      <w:r>
        <w:rPr>
          <w:color w:val="auto"/>
        </w:rPr>
        <w:t xml:space="preserve">listed </w:t>
      </w:r>
      <w:r w:rsidRPr="008B78BB">
        <w:rPr>
          <w:color w:val="auto"/>
        </w:rPr>
        <w:t xml:space="preserve">in </w:t>
      </w:r>
      <w:r>
        <w:rPr>
          <w:color w:val="auto"/>
        </w:rPr>
        <w:t>the s</w:t>
      </w:r>
      <w:r w:rsidRPr="008B78BB">
        <w:rPr>
          <w:color w:val="auto"/>
        </w:rPr>
        <w:t xml:space="preserve">ection </w:t>
      </w:r>
      <w:r>
        <w:rPr>
          <w:color w:val="auto"/>
        </w:rPr>
        <w:t>below</w:t>
      </w:r>
      <w:r w:rsidRPr="008B78BB">
        <w:rPr>
          <w:color w:val="auto"/>
        </w:rPr>
        <w:t xml:space="preserve">. </w:t>
      </w:r>
      <w:r w:rsidRPr="008B78BB">
        <w:rPr>
          <w:b/>
          <w:bCs/>
          <w:color w:val="auto"/>
        </w:rPr>
        <w:t>Exemptions that are incomplete or fail to contain sufficient information will delay the approval process or may result in a denial of a request.</w:t>
      </w:r>
      <w:r w:rsidRPr="008B78BB">
        <w:rPr>
          <w:color w:val="auto"/>
        </w:rPr>
        <w:t xml:space="preserve">    </w:t>
      </w:r>
    </w:p>
    <w:p w14:paraId="181A930A" w14:textId="63F41160" w:rsidR="005F2BD8" w:rsidRPr="00894840" w:rsidRDefault="005F2BD8" w:rsidP="0047723C">
      <w:pPr>
        <w:ind w:left="720"/>
        <w:rPr>
          <w:color w:val="auto"/>
        </w:rPr>
      </w:pPr>
    </w:p>
    <w:p w14:paraId="00CC59FC" w14:textId="1CCD60CE" w:rsidR="005F2BD8" w:rsidRPr="00894840" w:rsidRDefault="005F2BD8" w:rsidP="00415412">
      <w:pPr>
        <w:ind w:left="720"/>
        <w:rPr>
          <w:rFonts w:ascii="Arial" w:hAnsi="Arial" w:cs="Arial"/>
          <w:color w:val="auto"/>
          <w:szCs w:val="20"/>
        </w:rPr>
      </w:pPr>
      <w:r w:rsidRPr="00894840">
        <w:rPr>
          <w:rFonts w:ascii="Arial" w:hAnsi="Arial" w:cs="Arial"/>
          <w:color w:val="auto"/>
          <w:szCs w:val="20"/>
        </w:rPr>
        <w:t>Inventory: ___________________________________________________________</w:t>
      </w:r>
      <w:r w:rsidR="00B65FBF" w:rsidRPr="00894840">
        <w:rPr>
          <w:rFonts w:ascii="Arial" w:hAnsi="Arial" w:cs="Arial"/>
          <w:color w:val="auto"/>
          <w:szCs w:val="20"/>
        </w:rPr>
        <w:t>___</w:t>
      </w:r>
    </w:p>
    <w:p w14:paraId="3AA4CB80" w14:textId="77777777" w:rsidR="005F2BD8" w:rsidRPr="00894840" w:rsidRDefault="005F2BD8" w:rsidP="005F2BD8">
      <w:pPr>
        <w:ind w:left="720" w:hanging="720"/>
        <w:rPr>
          <w:rFonts w:ascii="Arial" w:hAnsi="Arial" w:cs="Arial"/>
          <w:color w:val="auto"/>
          <w:szCs w:val="20"/>
        </w:rPr>
      </w:pPr>
    </w:p>
    <w:p w14:paraId="5F1FC321" w14:textId="0E0782CD" w:rsidR="005F2BD8" w:rsidRPr="00894840" w:rsidRDefault="005F2BD8" w:rsidP="005F2BD8">
      <w:pPr>
        <w:ind w:left="720"/>
        <w:rPr>
          <w:rFonts w:ascii="Arial" w:hAnsi="Arial" w:cs="Arial"/>
          <w:color w:val="auto"/>
          <w:szCs w:val="20"/>
        </w:rPr>
      </w:pPr>
      <w:r w:rsidRPr="00894840">
        <w:rPr>
          <w:rFonts w:ascii="Arial" w:hAnsi="Arial" w:cs="Arial"/>
          <w:color w:val="auto"/>
          <w:szCs w:val="20"/>
        </w:rPr>
        <w:t>Fixed-price sale commitment of cash commodity:_____________________________</w:t>
      </w:r>
      <w:r w:rsidR="00B65FBF" w:rsidRPr="00894840">
        <w:rPr>
          <w:rFonts w:ascii="Arial" w:hAnsi="Arial" w:cs="Arial"/>
          <w:color w:val="auto"/>
          <w:szCs w:val="20"/>
        </w:rPr>
        <w:t>__</w:t>
      </w:r>
    </w:p>
    <w:p w14:paraId="608DAF0A" w14:textId="77777777" w:rsidR="005F2BD8" w:rsidRPr="00894840" w:rsidRDefault="005F2BD8" w:rsidP="005F2BD8">
      <w:pPr>
        <w:ind w:right="-144"/>
        <w:rPr>
          <w:rFonts w:ascii="Arial" w:hAnsi="Arial" w:cs="Arial"/>
          <w:color w:val="auto"/>
          <w:szCs w:val="20"/>
        </w:rPr>
      </w:pPr>
    </w:p>
    <w:p w14:paraId="3680FB9C" w14:textId="77455DA1" w:rsidR="005F2BD8" w:rsidRPr="00894840" w:rsidRDefault="005F2BD8" w:rsidP="005F2BD8">
      <w:pPr>
        <w:ind w:firstLine="720"/>
        <w:rPr>
          <w:rFonts w:ascii="Arial" w:hAnsi="Arial" w:cs="Arial"/>
          <w:color w:val="auto"/>
          <w:szCs w:val="20"/>
        </w:rPr>
      </w:pPr>
      <w:r w:rsidRPr="00894840">
        <w:rPr>
          <w:rFonts w:ascii="Arial" w:hAnsi="Arial" w:cs="Arial"/>
          <w:color w:val="auto"/>
          <w:szCs w:val="20"/>
        </w:rPr>
        <w:t>Fixed-price purchase commitment of cash commodity: ________________________</w:t>
      </w:r>
      <w:r w:rsidR="00B65FBF" w:rsidRPr="00894840">
        <w:rPr>
          <w:rFonts w:ascii="Arial" w:hAnsi="Arial" w:cs="Arial"/>
          <w:color w:val="auto"/>
          <w:szCs w:val="20"/>
        </w:rPr>
        <w:t>___</w:t>
      </w:r>
    </w:p>
    <w:p w14:paraId="0D415582" w14:textId="77777777" w:rsidR="005F2BD8" w:rsidRPr="00894840" w:rsidRDefault="005F2BD8" w:rsidP="005F2BD8">
      <w:pPr>
        <w:ind w:right="-144" w:firstLine="720"/>
        <w:rPr>
          <w:rFonts w:ascii="Arial" w:hAnsi="Arial" w:cs="Arial"/>
          <w:color w:val="auto"/>
          <w:szCs w:val="20"/>
        </w:rPr>
      </w:pPr>
    </w:p>
    <w:p w14:paraId="1E7A1ACB" w14:textId="379FE731" w:rsidR="005F2BD8" w:rsidRPr="00894840" w:rsidRDefault="005F2BD8" w:rsidP="005F2BD8">
      <w:pPr>
        <w:ind w:left="720"/>
        <w:rPr>
          <w:rFonts w:ascii="Arial" w:hAnsi="Arial" w:cs="Arial"/>
          <w:color w:val="auto"/>
          <w:szCs w:val="20"/>
        </w:rPr>
      </w:pPr>
      <w:r w:rsidRPr="00894840">
        <w:rPr>
          <w:rFonts w:ascii="Arial" w:hAnsi="Arial" w:cs="Arial"/>
          <w:color w:val="auto"/>
          <w:szCs w:val="20"/>
        </w:rPr>
        <w:t>Unfixed-price sale of cash commodity: ____________________________________</w:t>
      </w:r>
      <w:r w:rsidR="00B65FBF" w:rsidRPr="00894840">
        <w:rPr>
          <w:rFonts w:ascii="Arial" w:hAnsi="Arial" w:cs="Arial"/>
          <w:color w:val="auto"/>
          <w:szCs w:val="20"/>
        </w:rPr>
        <w:t>___</w:t>
      </w:r>
    </w:p>
    <w:p w14:paraId="4D62AAEC" w14:textId="77777777" w:rsidR="005F2BD8" w:rsidRPr="00894840" w:rsidRDefault="005F2BD8" w:rsidP="005F2BD8">
      <w:pPr>
        <w:ind w:left="720"/>
        <w:rPr>
          <w:rFonts w:ascii="Arial" w:hAnsi="Arial" w:cs="Arial"/>
          <w:color w:val="auto"/>
          <w:szCs w:val="20"/>
        </w:rPr>
      </w:pPr>
    </w:p>
    <w:p w14:paraId="5D43FD05" w14:textId="00D3540B" w:rsidR="005F2BD8" w:rsidRPr="00894840" w:rsidRDefault="005F2BD8" w:rsidP="005F2BD8">
      <w:pPr>
        <w:ind w:firstLine="720"/>
        <w:rPr>
          <w:rFonts w:ascii="Arial" w:hAnsi="Arial" w:cs="Arial"/>
          <w:color w:val="auto"/>
          <w:szCs w:val="20"/>
        </w:rPr>
      </w:pPr>
      <w:r w:rsidRPr="00894840">
        <w:rPr>
          <w:rFonts w:ascii="Arial" w:hAnsi="Arial" w:cs="Arial"/>
          <w:color w:val="auto"/>
          <w:szCs w:val="20"/>
        </w:rPr>
        <w:t>Unfixed-price purchase of cash commodity: ________________________________</w:t>
      </w:r>
      <w:r w:rsidR="00B65FBF" w:rsidRPr="00894840">
        <w:rPr>
          <w:rFonts w:ascii="Arial" w:hAnsi="Arial" w:cs="Arial"/>
          <w:color w:val="auto"/>
          <w:szCs w:val="20"/>
        </w:rPr>
        <w:t>___</w:t>
      </w:r>
    </w:p>
    <w:p w14:paraId="144E8821" w14:textId="77777777" w:rsidR="005F2BD8" w:rsidRPr="00894840" w:rsidRDefault="005F2BD8" w:rsidP="005F2BD8">
      <w:pPr>
        <w:ind w:firstLine="720"/>
        <w:rPr>
          <w:rFonts w:ascii="Arial" w:hAnsi="Arial" w:cs="Arial"/>
          <w:color w:val="auto"/>
          <w:szCs w:val="20"/>
        </w:rPr>
      </w:pPr>
    </w:p>
    <w:p w14:paraId="23C90F44" w14:textId="66D2A442" w:rsidR="005F2BD8" w:rsidRPr="00894840" w:rsidRDefault="005F2BD8" w:rsidP="005F2BD8">
      <w:pPr>
        <w:ind w:left="720"/>
        <w:rPr>
          <w:rFonts w:ascii="Arial" w:hAnsi="Arial" w:cs="Arial"/>
          <w:color w:val="auto"/>
          <w:szCs w:val="20"/>
        </w:rPr>
      </w:pPr>
      <w:r w:rsidRPr="00894840">
        <w:rPr>
          <w:rFonts w:ascii="Arial" w:hAnsi="Arial" w:cs="Arial"/>
          <w:color w:val="auto"/>
          <w:szCs w:val="20"/>
        </w:rPr>
        <w:t>Unfilled anticipated requirements of the cash commodity: _____________________</w:t>
      </w:r>
      <w:r w:rsidR="00B65FBF" w:rsidRPr="00894840">
        <w:rPr>
          <w:rFonts w:ascii="Arial" w:hAnsi="Arial" w:cs="Arial"/>
          <w:color w:val="auto"/>
          <w:szCs w:val="20"/>
        </w:rPr>
        <w:t>____</w:t>
      </w:r>
    </w:p>
    <w:p w14:paraId="735B5CCC" w14:textId="77777777" w:rsidR="005F2BD8" w:rsidRPr="00894840" w:rsidRDefault="005F2BD8" w:rsidP="005F2BD8">
      <w:pPr>
        <w:ind w:left="720"/>
        <w:rPr>
          <w:rFonts w:ascii="Arial" w:hAnsi="Arial" w:cs="Arial"/>
          <w:color w:val="auto"/>
          <w:szCs w:val="20"/>
        </w:rPr>
      </w:pPr>
    </w:p>
    <w:p w14:paraId="1303E7B0" w14:textId="2F0373FC" w:rsidR="005F2BD8" w:rsidRPr="00894840" w:rsidRDefault="005F2BD8" w:rsidP="005F2BD8">
      <w:pPr>
        <w:ind w:firstLine="720"/>
        <w:rPr>
          <w:rFonts w:ascii="Arial" w:hAnsi="Arial" w:cs="Arial"/>
          <w:color w:val="auto"/>
          <w:szCs w:val="20"/>
        </w:rPr>
      </w:pPr>
      <w:r w:rsidRPr="00894840">
        <w:rPr>
          <w:rFonts w:ascii="Arial" w:hAnsi="Arial" w:cs="Arial"/>
          <w:color w:val="auto"/>
          <w:szCs w:val="20"/>
        </w:rPr>
        <w:t>Unsold anticipated production of the cash commodity: _________________________</w:t>
      </w:r>
      <w:r w:rsidR="00B65FBF" w:rsidRPr="00894840">
        <w:rPr>
          <w:rFonts w:ascii="Arial" w:hAnsi="Arial" w:cs="Arial"/>
          <w:color w:val="auto"/>
          <w:szCs w:val="20"/>
        </w:rPr>
        <w:t>___</w:t>
      </w:r>
    </w:p>
    <w:p w14:paraId="17DBFBDE" w14:textId="77777777" w:rsidR="005F2BD8" w:rsidRPr="00894840" w:rsidRDefault="005F2BD8" w:rsidP="005F2BD8">
      <w:pPr>
        <w:ind w:firstLine="720"/>
        <w:rPr>
          <w:rFonts w:ascii="Arial" w:hAnsi="Arial" w:cs="Arial"/>
          <w:color w:val="auto"/>
          <w:szCs w:val="20"/>
        </w:rPr>
      </w:pPr>
    </w:p>
    <w:p w14:paraId="6D5A3E93" w14:textId="2B797067" w:rsidR="005F2BD8" w:rsidRPr="00894840" w:rsidRDefault="005F2BD8" w:rsidP="005F2BD8">
      <w:pPr>
        <w:ind w:firstLine="720"/>
        <w:rPr>
          <w:rFonts w:ascii="Arial" w:hAnsi="Arial" w:cs="Arial"/>
          <w:color w:val="auto"/>
          <w:szCs w:val="20"/>
        </w:rPr>
      </w:pPr>
      <w:r w:rsidRPr="00894840">
        <w:rPr>
          <w:rFonts w:ascii="Arial" w:hAnsi="Arial" w:cs="Arial"/>
          <w:color w:val="auto"/>
          <w:szCs w:val="20"/>
        </w:rPr>
        <w:t>Anticipated merchandising positions</w:t>
      </w:r>
      <w:r w:rsidRPr="00894840">
        <w:rPr>
          <w:rStyle w:val="FootnoteReference"/>
          <w:rFonts w:ascii="Arial" w:hAnsi="Arial" w:cs="Arial"/>
          <w:color w:val="auto"/>
          <w:szCs w:val="20"/>
        </w:rPr>
        <w:footnoteReference w:id="2"/>
      </w:r>
      <w:r w:rsidRPr="00894840">
        <w:rPr>
          <w:rFonts w:ascii="Arial" w:hAnsi="Arial" w:cs="Arial"/>
          <w:color w:val="auto"/>
          <w:szCs w:val="20"/>
        </w:rPr>
        <w:t>: ________________________________________</w:t>
      </w:r>
    </w:p>
    <w:p w14:paraId="3A1F7FD2" w14:textId="77777777" w:rsidR="005F2BD8" w:rsidRPr="00894840" w:rsidRDefault="005F2BD8" w:rsidP="005F2BD8">
      <w:pPr>
        <w:ind w:firstLine="720"/>
        <w:rPr>
          <w:rFonts w:ascii="Arial" w:hAnsi="Arial" w:cs="Arial"/>
          <w:color w:val="auto"/>
          <w:szCs w:val="20"/>
        </w:rPr>
      </w:pPr>
    </w:p>
    <w:p w14:paraId="65775CD9" w14:textId="6677320A" w:rsidR="005F2BD8" w:rsidRPr="00894840" w:rsidRDefault="005F2BD8" w:rsidP="005F2BD8">
      <w:pPr>
        <w:ind w:firstLine="720"/>
        <w:rPr>
          <w:rFonts w:ascii="Arial" w:hAnsi="Arial" w:cs="Arial"/>
          <w:color w:val="auto"/>
          <w:szCs w:val="20"/>
        </w:rPr>
      </w:pPr>
      <w:r w:rsidRPr="00894840">
        <w:rPr>
          <w:rFonts w:ascii="Arial" w:hAnsi="Arial" w:cs="Arial"/>
          <w:color w:val="auto"/>
          <w:szCs w:val="20"/>
        </w:rPr>
        <w:t>Anticipated services: ______________________________________________________</w:t>
      </w:r>
    </w:p>
    <w:p w14:paraId="2F31EE90" w14:textId="77777777" w:rsidR="005F2BD8" w:rsidRPr="00894840" w:rsidRDefault="005F2BD8" w:rsidP="005F2BD8">
      <w:pPr>
        <w:ind w:firstLine="720"/>
        <w:rPr>
          <w:rFonts w:ascii="Arial" w:hAnsi="Arial" w:cs="Arial"/>
          <w:color w:val="auto"/>
          <w:szCs w:val="20"/>
        </w:rPr>
      </w:pPr>
    </w:p>
    <w:p w14:paraId="2999DC36" w14:textId="7E14FCFD" w:rsidR="005F2BD8" w:rsidRPr="00894840" w:rsidRDefault="005F2BD8" w:rsidP="005F2BD8">
      <w:pPr>
        <w:ind w:firstLine="720"/>
        <w:rPr>
          <w:rFonts w:ascii="Arial" w:hAnsi="Arial" w:cs="Arial"/>
          <w:color w:val="auto"/>
          <w:szCs w:val="20"/>
        </w:rPr>
      </w:pPr>
      <w:r w:rsidRPr="00894840">
        <w:rPr>
          <w:rFonts w:ascii="Arial" w:hAnsi="Arial" w:cs="Arial"/>
          <w:color w:val="auto"/>
          <w:szCs w:val="20"/>
        </w:rPr>
        <w:t>Pass-through swap positions: _______________________________________________</w:t>
      </w:r>
    </w:p>
    <w:p w14:paraId="0EA1CB8D" w14:textId="063A5FA3" w:rsidR="005F2BD8" w:rsidRPr="00894840" w:rsidRDefault="005F2BD8" w:rsidP="00415412">
      <w:pPr>
        <w:rPr>
          <w:rFonts w:ascii="Arial" w:hAnsi="Arial" w:cs="Arial"/>
          <w:color w:val="auto"/>
          <w:szCs w:val="20"/>
        </w:rPr>
      </w:pPr>
    </w:p>
    <w:p w14:paraId="254B6B24" w14:textId="50C8A3FC" w:rsidR="005F2BD8" w:rsidRPr="00A15D38" w:rsidRDefault="005F2BD8" w:rsidP="00894840">
      <w:pPr>
        <w:spacing w:line="240" w:lineRule="auto"/>
        <w:ind w:left="1440" w:hanging="720"/>
        <w:jc w:val="both"/>
        <w:rPr>
          <w:rFonts w:ascii="Arial" w:eastAsia="MS Mincho" w:hAnsi="Arial" w:cs="Arial"/>
          <w:color w:val="auto"/>
          <w:szCs w:val="20"/>
        </w:rPr>
      </w:pPr>
      <w:r w:rsidRPr="00894840">
        <w:rPr>
          <w:rFonts w:ascii="Arial" w:hAnsi="Arial" w:cs="Arial"/>
          <w:color w:val="auto"/>
          <w:szCs w:val="20"/>
        </w:rPr>
        <w:lastRenderedPageBreak/>
        <w:tab/>
        <w:t>(Y/N)</w:t>
      </w:r>
      <w:r w:rsidRPr="00894840">
        <w:rPr>
          <w:rFonts w:ascii="Arial" w:hAnsi="Arial" w:cs="Arial"/>
          <w:color w:val="auto"/>
          <w:szCs w:val="20"/>
        </w:rPr>
        <w:tab/>
        <w:t>______ The applicant has provided a written representation that the swap of the pass-through swap counterparty qualifies as a bona fide hedging transaction in accordance with CFTC Regulation 150.1 to the Exchange.</w:t>
      </w:r>
      <w:r w:rsidR="00DC1B94" w:rsidRPr="00894840">
        <w:rPr>
          <w:rFonts w:ascii="Arial" w:hAnsi="Arial" w:cs="Arial"/>
          <w:color w:val="auto"/>
          <w:szCs w:val="20"/>
        </w:rPr>
        <w:t xml:space="preserve">  </w:t>
      </w:r>
      <w:bookmarkStart w:id="0" w:name="OLE_LINK2"/>
      <w:r w:rsidR="00DC1B94" w:rsidRPr="00894840">
        <w:rPr>
          <w:rFonts w:ascii="Arial" w:eastAsia="MS Mincho" w:hAnsi="Arial" w:cs="Arial"/>
          <w:color w:val="auto"/>
          <w:szCs w:val="20"/>
        </w:rPr>
        <w:t>The applicant has also provided an explanation of such counterparty’s positions in the underlying cash market, related cash market, or related over-the-counter market where there exists a close linkage between the Futures or Options market and the underlying market.  The written representation and explanation must be provided to the Exchange.</w:t>
      </w:r>
      <w:bookmarkEnd w:id="0"/>
    </w:p>
    <w:p w14:paraId="6B702587" w14:textId="77777777" w:rsidR="0047723C" w:rsidRPr="00894840" w:rsidRDefault="0047723C" w:rsidP="0047723C">
      <w:pPr>
        <w:ind w:left="720"/>
        <w:rPr>
          <w:color w:val="auto"/>
        </w:rPr>
      </w:pPr>
    </w:p>
    <w:p w14:paraId="485CA92C" w14:textId="426BCBAC" w:rsidR="0047723C" w:rsidRPr="00894840" w:rsidRDefault="0047723C" w:rsidP="00524743">
      <w:pPr>
        <w:numPr>
          <w:ilvl w:val="0"/>
          <w:numId w:val="7"/>
        </w:numPr>
        <w:spacing w:line="240" w:lineRule="auto"/>
        <w:rPr>
          <w:color w:val="auto"/>
          <w:u w:val="single"/>
        </w:rPr>
      </w:pPr>
      <w:r w:rsidRPr="00894840">
        <w:rPr>
          <w:color w:val="auto"/>
          <w:u w:val="single"/>
        </w:rPr>
        <w:t>Exemption for Spread</w:t>
      </w:r>
    </w:p>
    <w:p w14:paraId="25D2E3DD" w14:textId="77777777" w:rsidR="0047723C" w:rsidRPr="00894840" w:rsidRDefault="0047723C" w:rsidP="0047723C">
      <w:pPr>
        <w:ind w:left="360"/>
        <w:rPr>
          <w:color w:val="auto"/>
        </w:rPr>
      </w:pPr>
    </w:p>
    <w:p w14:paraId="2BA6D4CB" w14:textId="032050B9" w:rsidR="00524743" w:rsidRPr="00894840" w:rsidRDefault="0089495B" w:rsidP="00894840">
      <w:pPr>
        <w:ind w:left="720"/>
        <w:jc w:val="both"/>
        <w:rPr>
          <w:color w:val="auto"/>
        </w:rPr>
      </w:pPr>
      <w:r>
        <w:rPr>
          <w:color w:val="auto"/>
        </w:rPr>
        <w:t>Qualifying</w:t>
      </w:r>
      <w:r w:rsidR="00524743" w:rsidRPr="00894840">
        <w:rPr>
          <w:color w:val="auto"/>
        </w:rPr>
        <w:t xml:space="preserve"> spread strategies must conform to those strategies described in CFTC Regulation 150.1 and Appendix G to CFTC Part 150.</w:t>
      </w:r>
    </w:p>
    <w:p w14:paraId="4E1C4FDA" w14:textId="77777777" w:rsidR="00524743" w:rsidRPr="00894840" w:rsidRDefault="00524743" w:rsidP="00894840">
      <w:pPr>
        <w:ind w:left="720"/>
        <w:jc w:val="both"/>
        <w:rPr>
          <w:color w:val="auto"/>
        </w:rPr>
      </w:pPr>
    </w:p>
    <w:p w14:paraId="267C57D3" w14:textId="295ACB1A" w:rsidR="0047723C" w:rsidRPr="00894840" w:rsidRDefault="0047723C" w:rsidP="00894840">
      <w:pPr>
        <w:ind w:left="720"/>
        <w:jc w:val="both"/>
        <w:rPr>
          <w:color w:val="auto"/>
        </w:rPr>
      </w:pPr>
      <w:r w:rsidRPr="00894840">
        <w:rPr>
          <w:color w:val="auto"/>
        </w:rPr>
        <w:t>For a cash and carry s</w:t>
      </w:r>
      <w:r w:rsidR="00AF7417" w:rsidRPr="00894840">
        <w:rPr>
          <w:color w:val="auto"/>
        </w:rPr>
        <w:t>pread</w:t>
      </w:r>
      <w:r w:rsidRPr="00894840">
        <w:rPr>
          <w:color w:val="auto"/>
        </w:rPr>
        <w:t xml:space="preserve"> exemption, provide the Applicant’s cost of carry (in points per pound or metric ton) ___________, which includes financing, warehousing, insurance and, for </w:t>
      </w:r>
      <w:r w:rsidR="0089495B">
        <w:rPr>
          <w:color w:val="auto"/>
        </w:rPr>
        <w:t>C</w:t>
      </w:r>
      <w:r w:rsidRPr="00894840">
        <w:rPr>
          <w:color w:val="auto"/>
        </w:rPr>
        <w:t>offee “C”, expected aging discounts.  Also provide the minimum price level of the spread (points) at which the Applicant will enter into a s</w:t>
      </w:r>
      <w:r w:rsidR="00AF7417" w:rsidRPr="00894840">
        <w:rPr>
          <w:color w:val="auto"/>
        </w:rPr>
        <w:t>pread</w:t>
      </w:r>
      <w:r w:rsidRPr="00894840">
        <w:rPr>
          <w:color w:val="auto"/>
        </w:rPr>
        <w:t xml:space="preserve"> position and which would result in an economic profit for the Applicant: </w:t>
      </w:r>
    </w:p>
    <w:p w14:paraId="0B41F885" w14:textId="77777777" w:rsidR="0047723C" w:rsidRPr="00894840" w:rsidRDefault="0047723C" w:rsidP="00894840">
      <w:pPr>
        <w:ind w:left="720"/>
        <w:jc w:val="both"/>
        <w:rPr>
          <w:color w:val="auto"/>
        </w:rPr>
      </w:pPr>
    </w:p>
    <w:p w14:paraId="7CE7C900" w14:textId="77777777" w:rsidR="0047723C" w:rsidRPr="00894840" w:rsidRDefault="0047723C" w:rsidP="00894840">
      <w:pPr>
        <w:ind w:left="720"/>
        <w:jc w:val="both"/>
        <w:rPr>
          <w:color w:val="auto"/>
        </w:rPr>
      </w:pPr>
      <w:r w:rsidRPr="00894840">
        <w:rPr>
          <w:color w:val="auto"/>
        </w:rPr>
        <w:t>_______________________________________________________________________</w:t>
      </w:r>
    </w:p>
    <w:p w14:paraId="6316F82A" w14:textId="77777777" w:rsidR="0047723C" w:rsidRPr="00894840" w:rsidRDefault="0047723C" w:rsidP="00894840">
      <w:pPr>
        <w:ind w:left="720"/>
        <w:jc w:val="both"/>
        <w:rPr>
          <w:color w:val="auto"/>
        </w:rPr>
      </w:pPr>
    </w:p>
    <w:p w14:paraId="033B4425" w14:textId="46DC3867" w:rsidR="0047723C" w:rsidRPr="00894840" w:rsidRDefault="0047723C" w:rsidP="00894840">
      <w:pPr>
        <w:ind w:left="720"/>
        <w:jc w:val="both"/>
        <w:rPr>
          <w:color w:val="auto"/>
        </w:rPr>
      </w:pPr>
      <w:r w:rsidRPr="00894840">
        <w:rPr>
          <w:color w:val="auto"/>
        </w:rPr>
        <w:t xml:space="preserve">Finally, provide the quantity of stocks owned by the Applicant that currently are stored in warehouses of storage companies licensed by the Exchange: </w:t>
      </w:r>
    </w:p>
    <w:p w14:paraId="13B1ED9A" w14:textId="77777777" w:rsidR="0047723C" w:rsidRPr="00894840" w:rsidRDefault="0047723C" w:rsidP="00894840">
      <w:pPr>
        <w:ind w:left="720"/>
        <w:jc w:val="both"/>
        <w:rPr>
          <w:color w:val="auto"/>
        </w:rPr>
      </w:pPr>
    </w:p>
    <w:p w14:paraId="2BF4DC3B" w14:textId="77777777" w:rsidR="0047723C" w:rsidRPr="00894840" w:rsidRDefault="0047723C" w:rsidP="00894840">
      <w:pPr>
        <w:ind w:left="720"/>
        <w:jc w:val="both"/>
        <w:rPr>
          <w:color w:val="auto"/>
        </w:rPr>
      </w:pPr>
      <w:r w:rsidRPr="00894840">
        <w:rPr>
          <w:color w:val="auto"/>
        </w:rPr>
        <w:t>_______________________________________________________________________</w:t>
      </w:r>
    </w:p>
    <w:p w14:paraId="6BB17F26" w14:textId="77777777" w:rsidR="0047723C" w:rsidRPr="00894840" w:rsidRDefault="0047723C" w:rsidP="00894840">
      <w:pPr>
        <w:ind w:left="720"/>
        <w:jc w:val="both"/>
        <w:rPr>
          <w:color w:val="auto"/>
        </w:rPr>
      </w:pPr>
    </w:p>
    <w:p w14:paraId="1367CC18" w14:textId="32917C09" w:rsidR="0047723C" w:rsidRPr="00894840" w:rsidRDefault="0047723C" w:rsidP="00894840">
      <w:pPr>
        <w:ind w:left="720"/>
        <w:jc w:val="both"/>
        <w:rPr>
          <w:color w:val="auto"/>
        </w:rPr>
      </w:pPr>
      <w:r w:rsidRPr="00894840">
        <w:rPr>
          <w:color w:val="auto"/>
        </w:rPr>
        <w:t>For a cash and carry exemption, all long positions in the nearest futures month must be liquidated prior to the nearest futures month rising to a premium with respect to the second futures month.</w:t>
      </w:r>
    </w:p>
    <w:p w14:paraId="12503200" w14:textId="75F583A9" w:rsidR="00C34DBC" w:rsidRPr="00894840" w:rsidRDefault="00C34DBC" w:rsidP="0047723C">
      <w:pPr>
        <w:ind w:left="720"/>
        <w:rPr>
          <w:color w:val="auto"/>
        </w:rPr>
      </w:pPr>
    </w:p>
    <w:p w14:paraId="6A03CEDC" w14:textId="77777777" w:rsidR="00C34DBC" w:rsidRPr="00894840" w:rsidRDefault="00C34DBC" w:rsidP="00894840">
      <w:pPr>
        <w:pStyle w:val="ListParagraph"/>
        <w:numPr>
          <w:ilvl w:val="0"/>
          <w:numId w:val="7"/>
        </w:numPr>
        <w:ind w:right="-144"/>
        <w:rPr>
          <w:rFonts w:ascii="Arial" w:hAnsi="Arial" w:cs="Arial"/>
          <w:color w:val="auto"/>
          <w:szCs w:val="20"/>
          <w:u w:val="single"/>
        </w:rPr>
      </w:pPr>
      <w:r w:rsidRPr="00894840">
        <w:rPr>
          <w:rFonts w:ascii="Arial" w:hAnsi="Arial" w:cs="Arial"/>
          <w:color w:val="auto"/>
          <w:szCs w:val="20"/>
          <w:u w:val="single"/>
        </w:rPr>
        <w:t xml:space="preserve">Non-enumerated bona fide hedge positions - CFTC Regulation 150.9:  </w:t>
      </w:r>
    </w:p>
    <w:p w14:paraId="2F23C44F" w14:textId="77777777" w:rsidR="00C34DBC" w:rsidRPr="00894840" w:rsidRDefault="00C34DBC" w:rsidP="00415412">
      <w:pPr>
        <w:pStyle w:val="ListParagraph"/>
        <w:ind w:right="-144"/>
        <w:rPr>
          <w:rFonts w:ascii="Arial" w:hAnsi="Arial" w:cs="Arial"/>
          <w:color w:val="auto"/>
          <w:szCs w:val="20"/>
        </w:rPr>
      </w:pPr>
    </w:p>
    <w:p w14:paraId="0A2EE43E" w14:textId="77777777" w:rsidR="00C34DBC" w:rsidRPr="00894840" w:rsidRDefault="00C34DBC" w:rsidP="00415412">
      <w:pPr>
        <w:pStyle w:val="ListParagraph"/>
        <w:ind w:right="-144"/>
        <w:rPr>
          <w:rFonts w:ascii="Arial" w:hAnsi="Arial" w:cs="Arial"/>
          <w:color w:val="auto"/>
          <w:szCs w:val="20"/>
        </w:rPr>
      </w:pPr>
      <w:r w:rsidRPr="00894840">
        <w:rPr>
          <w:rFonts w:ascii="Arial" w:hAnsi="Arial" w:cs="Arial"/>
          <w:color w:val="auto"/>
          <w:szCs w:val="20"/>
        </w:rPr>
        <w:t xml:space="preserve">Please provide the following information for each of the components below: </w:t>
      </w:r>
    </w:p>
    <w:p w14:paraId="43F6D452" w14:textId="77777777" w:rsidR="00C34DBC" w:rsidRPr="00894840" w:rsidRDefault="00C34DBC" w:rsidP="00415412">
      <w:pPr>
        <w:pStyle w:val="ListParagraph"/>
        <w:ind w:right="-144"/>
        <w:rPr>
          <w:rFonts w:ascii="Arial" w:hAnsi="Arial" w:cs="Arial"/>
          <w:color w:val="auto"/>
          <w:szCs w:val="20"/>
        </w:rPr>
      </w:pPr>
    </w:p>
    <w:p w14:paraId="44EF8A68" w14:textId="388D26CF" w:rsidR="00C34DBC" w:rsidRPr="00894840" w:rsidRDefault="00C34DBC" w:rsidP="00894840">
      <w:pPr>
        <w:pStyle w:val="ListParagraph"/>
        <w:ind w:right="-144"/>
        <w:jc w:val="both"/>
        <w:rPr>
          <w:rFonts w:ascii="Arial" w:hAnsi="Arial" w:cs="Arial"/>
          <w:color w:val="auto"/>
          <w:szCs w:val="20"/>
        </w:rPr>
      </w:pPr>
      <w:r w:rsidRPr="00894840">
        <w:rPr>
          <w:rFonts w:ascii="Arial" w:hAnsi="Arial" w:cs="Arial"/>
          <w:color w:val="auto"/>
          <w:szCs w:val="20"/>
        </w:rPr>
        <w:t>A description of position in the relevant contract, which includes the name of the underlying commodity, size of the position in such commodity, and size of the position in the relevant contract:</w:t>
      </w:r>
    </w:p>
    <w:p w14:paraId="6295492F" w14:textId="77777777" w:rsidR="00C34DBC" w:rsidRPr="00894840" w:rsidRDefault="00C34DBC" w:rsidP="00C34DBC">
      <w:pPr>
        <w:spacing w:line="360" w:lineRule="auto"/>
        <w:ind w:left="720"/>
        <w:rPr>
          <w:rFonts w:ascii="Arial" w:hAnsi="Arial" w:cs="Arial"/>
          <w:color w:val="auto"/>
          <w:szCs w:val="20"/>
        </w:rPr>
      </w:pPr>
      <w:r w:rsidRPr="00894840">
        <w:rPr>
          <w:rFonts w:ascii="Arial" w:hAnsi="Arial" w:cs="Arial"/>
          <w:color w:val="auto"/>
          <w:szCs w:val="20"/>
        </w:rPr>
        <w:t>_______________________________________________________________________</w:t>
      </w:r>
    </w:p>
    <w:p w14:paraId="142568CB" w14:textId="77777777" w:rsidR="00C34DBC" w:rsidRPr="00894840" w:rsidRDefault="00C34DBC" w:rsidP="00C34DBC">
      <w:pPr>
        <w:spacing w:line="360" w:lineRule="auto"/>
        <w:ind w:left="720"/>
        <w:rPr>
          <w:rFonts w:ascii="Arial" w:hAnsi="Arial" w:cs="Arial"/>
          <w:color w:val="auto"/>
          <w:szCs w:val="20"/>
        </w:rPr>
      </w:pPr>
      <w:r w:rsidRPr="00894840">
        <w:rPr>
          <w:rFonts w:ascii="Arial" w:hAnsi="Arial" w:cs="Arial"/>
          <w:color w:val="auto"/>
          <w:szCs w:val="20"/>
        </w:rPr>
        <w:t>_______________________________________________________________________</w:t>
      </w:r>
    </w:p>
    <w:p w14:paraId="1A169FDA" w14:textId="77777777" w:rsidR="00C34DBC" w:rsidRPr="00894840" w:rsidRDefault="00C34DBC" w:rsidP="00C34DBC">
      <w:pPr>
        <w:pStyle w:val="ListParagraph"/>
        <w:ind w:right="-144"/>
        <w:rPr>
          <w:rFonts w:ascii="Arial" w:hAnsi="Arial" w:cs="Arial"/>
          <w:color w:val="auto"/>
          <w:szCs w:val="20"/>
        </w:rPr>
      </w:pPr>
    </w:p>
    <w:p w14:paraId="20AD4979" w14:textId="77777777" w:rsidR="00C34DBC" w:rsidRPr="00894840" w:rsidRDefault="00C34DBC" w:rsidP="00894840">
      <w:pPr>
        <w:ind w:left="720"/>
        <w:jc w:val="both"/>
        <w:rPr>
          <w:rFonts w:ascii="Arial" w:hAnsi="Arial" w:cs="Arial"/>
          <w:color w:val="auto"/>
          <w:szCs w:val="20"/>
        </w:rPr>
      </w:pPr>
      <w:r w:rsidRPr="00894840">
        <w:rPr>
          <w:rFonts w:ascii="Arial" w:hAnsi="Arial" w:cs="Arial"/>
          <w:color w:val="auto"/>
          <w:szCs w:val="20"/>
        </w:rPr>
        <w:t>An explanation of the hedging strategy, including a statement and information to support that the position complies with Exchange Rule 6.29, CFTC Regulation 150.1, and section 4a(c)(2) of the Act, where applicable:</w:t>
      </w:r>
    </w:p>
    <w:p w14:paraId="32E869A5" w14:textId="77777777" w:rsidR="00C34DBC" w:rsidRPr="00894840" w:rsidRDefault="00C34DBC" w:rsidP="00894840">
      <w:pPr>
        <w:ind w:left="720"/>
        <w:jc w:val="both"/>
        <w:rPr>
          <w:rFonts w:ascii="Arial" w:hAnsi="Arial" w:cs="Arial"/>
          <w:color w:val="auto"/>
          <w:szCs w:val="20"/>
        </w:rPr>
      </w:pPr>
    </w:p>
    <w:p w14:paraId="1929ABBF" w14:textId="23E9F537" w:rsidR="00C34DBC" w:rsidRPr="00894840" w:rsidRDefault="00C34DBC" w:rsidP="00894840">
      <w:pPr>
        <w:spacing w:line="360" w:lineRule="auto"/>
        <w:ind w:left="720"/>
        <w:jc w:val="both"/>
        <w:rPr>
          <w:rFonts w:ascii="Arial" w:hAnsi="Arial" w:cs="Arial"/>
          <w:color w:val="auto"/>
          <w:szCs w:val="20"/>
        </w:rPr>
      </w:pPr>
      <w:r w:rsidRPr="00894840">
        <w:rPr>
          <w:rFonts w:ascii="Arial" w:hAnsi="Arial" w:cs="Arial"/>
          <w:color w:val="auto"/>
          <w:szCs w:val="20"/>
        </w:rPr>
        <w:t>_______________________________________________________________________</w:t>
      </w:r>
    </w:p>
    <w:p w14:paraId="6EAE78D4" w14:textId="7EA8088D" w:rsidR="00C34DBC" w:rsidRPr="00894840" w:rsidRDefault="00C34DBC" w:rsidP="00894840">
      <w:pPr>
        <w:spacing w:line="360" w:lineRule="auto"/>
        <w:ind w:left="720"/>
        <w:jc w:val="both"/>
        <w:rPr>
          <w:rFonts w:ascii="Arial" w:hAnsi="Arial" w:cs="Arial"/>
          <w:color w:val="auto"/>
          <w:szCs w:val="20"/>
        </w:rPr>
      </w:pPr>
      <w:r w:rsidRPr="00894840">
        <w:rPr>
          <w:rFonts w:ascii="Arial" w:hAnsi="Arial" w:cs="Arial"/>
          <w:color w:val="auto"/>
          <w:szCs w:val="20"/>
        </w:rPr>
        <w:t>_______________________________________________________________________</w:t>
      </w:r>
    </w:p>
    <w:p w14:paraId="365E50EE" w14:textId="77777777" w:rsidR="00C34DBC" w:rsidRPr="00894840" w:rsidRDefault="00C34DBC" w:rsidP="00894840">
      <w:pPr>
        <w:ind w:left="720"/>
        <w:jc w:val="both"/>
        <w:rPr>
          <w:rFonts w:ascii="Arial" w:hAnsi="Arial" w:cs="Arial"/>
          <w:color w:val="auto"/>
          <w:szCs w:val="20"/>
        </w:rPr>
      </w:pPr>
    </w:p>
    <w:p w14:paraId="5B53944C" w14:textId="77777777" w:rsidR="00C34DBC" w:rsidRPr="00894840" w:rsidRDefault="00C34DBC" w:rsidP="00894840">
      <w:pPr>
        <w:ind w:left="720"/>
        <w:jc w:val="both"/>
        <w:rPr>
          <w:rFonts w:ascii="Arial" w:hAnsi="Arial" w:cs="Arial"/>
          <w:color w:val="auto"/>
          <w:szCs w:val="20"/>
        </w:rPr>
      </w:pPr>
      <w:r w:rsidRPr="00894840">
        <w:rPr>
          <w:rFonts w:ascii="Arial" w:hAnsi="Arial" w:cs="Arial"/>
          <w:color w:val="auto"/>
          <w:szCs w:val="20"/>
        </w:rPr>
        <w:lastRenderedPageBreak/>
        <w:t>A statement concerning the maximum size of all gross positions in commodity derivative contracts for the relevant contract:</w:t>
      </w:r>
    </w:p>
    <w:p w14:paraId="306D1FA5" w14:textId="77777777" w:rsidR="00C34DBC" w:rsidRPr="00894840" w:rsidRDefault="00C34DBC" w:rsidP="00894840">
      <w:pPr>
        <w:spacing w:line="360" w:lineRule="auto"/>
        <w:ind w:left="720"/>
        <w:jc w:val="both"/>
        <w:rPr>
          <w:rFonts w:ascii="Arial" w:hAnsi="Arial" w:cs="Arial"/>
          <w:color w:val="auto"/>
          <w:szCs w:val="20"/>
        </w:rPr>
      </w:pPr>
    </w:p>
    <w:p w14:paraId="6563D654" w14:textId="56A435DB" w:rsidR="00C34DBC" w:rsidRPr="00894840" w:rsidRDefault="00C34DBC" w:rsidP="00894840">
      <w:pPr>
        <w:spacing w:line="360" w:lineRule="auto"/>
        <w:ind w:left="720"/>
        <w:jc w:val="both"/>
        <w:rPr>
          <w:rFonts w:ascii="Arial" w:hAnsi="Arial" w:cs="Arial"/>
          <w:color w:val="auto"/>
          <w:szCs w:val="20"/>
        </w:rPr>
      </w:pPr>
      <w:r w:rsidRPr="00894840">
        <w:rPr>
          <w:rFonts w:ascii="Arial" w:hAnsi="Arial" w:cs="Arial"/>
          <w:color w:val="auto"/>
          <w:szCs w:val="20"/>
        </w:rPr>
        <w:t>_______________________________________________________________________</w:t>
      </w:r>
    </w:p>
    <w:p w14:paraId="4222491B" w14:textId="776C380D" w:rsidR="00C34DBC" w:rsidRPr="00894840" w:rsidRDefault="00C34DBC" w:rsidP="00894840">
      <w:pPr>
        <w:spacing w:line="360" w:lineRule="auto"/>
        <w:ind w:left="720"/>
        <w:jc w:val="both"/>
        <w:rPr>
          <w:rFonts w:ascii="Arial" w:hAnsi="Arial" w:cs="Arial"/>
          <w:color w:val="auto"/>
          <w:szCs w:val="20"/>
        </w:rPr>
      </w:pPr>
      <w:r w:rsidRPr="00894840">
        <w:rPr>
          <w:rFonts w:ascii="Arial" w:hAnsi="Arial" w:cs="Arial"/>
          <w:color w:val="auto"/>
          <w:szCs w:val="20"/>
        </w:rPr>
        <w:t>_______________________________________________________________________</w:t>
      </w:r>
    </w:p>
    <w:p w14:paraId="385B5C90" w14:textId="77777777" w:rsidR="00C34DBC" w:rsidRPr="00894840" w:rsidRDefault="00C34DBC" w:rsidP="00894840">
      <w:pPr>
        <w:ind w:left="720"/>
        <w:jc w:val="both"/>
        <w:rPr>
          <w:rFonts w:ascii="Arial" w:hAnsi="Arial" w:cs="Arial"/>
          <w:color w:val="auto"/>
          <w:szCs w:val="20"/>
        </w:rPr>
      </w:pPr>
    </w:p>
    <w:p w14:paraId="23FACC4B" w14:textId="3E30DDF6" w:rsidR="00C34DBC" w:rsidRPr="00894840" w:rsidRDefault="00C34DBC" w:rsidP="00894840">
      <w:pPr>
        <w:ind w:left="720"/>
        <w:jc w:val="both"/>
        <w:rPr>
          <w:rFonts w:ascii="Arial" w:hAnsi="Arial" w:cs="Arial"/>
          <w:color w:val="auto"/>
          <w:szCs w:val="20"/>
        </w:rPr>
      </w:pPr>
      <w:r w:rsidRPr="00894840">
        <w:rPr>
          <w:rFonts w:ascii="Arial" w:hAnsi="Arial" w:cs="Arial"/>
          <w:color w:val="auto"/>
          <w:szCs w:val="20"/>
        </w:rPr>
        <w:t>A description of the applicant’s activity in the cash markets and the swaps markets for the commodity underlying the position for which the request is submitted, including, but not limited to, information regarding the offsetting cash positions:</w:t>
      </w:r>
    </w:p>
    <w:p w14:paraId="73BFFDF5" w14:textId="77777777" w:rsidR="00194E60" w:rsidRPr="00894840" w:rsidRDefault="00194E60" w:rsidP="00C34DBC">
      <w:pPr>
        <w:ind w:left="720" w:right="-144"/>
        <w:rPr>
          <w:rFonts w:ascii="Arial" w:hAnsi="Arial" w:cs="Arial"/>
          <w:color w:val="auto"/>
          <w:szCs w:val="20"/>
        </w:rPr>
      </w:pPr>
    </w:p>
    <w:p w14:paraId="677C13C3" w14:textId="77777777" w:rsidR="00C34DBC" w:rsidRPr="00894840" w:rsidRDefault="00C34DBC" w:rsidP="00C34DBC">
      <w:pPr>
        <w:ind w:left="720" w:right="-144"/>
        <w:rPr>
          <w:rFonts w:ascii="Arial" w:hAnsi="Arial" w:cs="Arial"/>
          <w:color w:val="auto"/>
          <w:szCs w:val="20"/>
        </w:rPr>
      </w:pPr>
      <w:r w:rsidRPr="00894840">
        <w:rPr>
          <w:rFonts w:ascii="Arial" w:hAnsi="Arial" w:cs="Arial"/>
          <w:color w:val="auto"/>
          <w:szCs w:val="20"/>
        </w:rPr>
        <w:t xml:space="preserve"> </w:t>
      </w:r>
    </w:p>
    <w:p w14:paraId="1E0F1ABA" w14:textId="79EDC6FC" w:rsidR="00C34DBC" w:rsidRPr="00894840" w:rsidRDefault="00C34DBC" w:rsidP="00C34DBC">
      <w:pPr>
        <w:spacing w:line="360" w:lineRule="auto"/>
        <w:ind w:left="720"/>
        <w:rPr>
          <w:rFonts w:ascii="Arial" w:hAnsi="Arial" w:cs="Arial"/>
          <w:color w:val="auto"/>
          <w:szCs w:val="20"/>
        </w:rPr>
      </w:pPr>
      <w:r w:rsidRPr="00894840">
        <w:rPr>
          <w:rFonts w:ascii="Arial" w:hAnsi="Arial" w:cs="Arial"/>
          <w:color w:val="auto"/>
          <w:szCs w:val="20"/>
        </w:rPr>
        <w:t>_______________________________________________________________________</w:t>
      </w:r>
    </w:p>
    <w:p w14:paraId="448100DA" w14:textId="4F0D034E" w:rsidR="00C34DBC" w:rsidRPr="00894840" w:rsidRDefault="00C34DBC" w:rsidP="00C34DBC">
      <w:pPr>
        <w:spacing w:line="360" w:lineRule="auto"/>
        <w:ind w:left="720"/>
        <w:rPr>
          <w:rFonts w:ascii="Arial" w:hAnsi="Arial" w:cs="Arial"/>
          <w:color w:val="auto"/>
          <w:szCs w:val="20"/>
        </w:rPr>
      </w:pPr>
      <w:r w:rsidRPr="00894840">
        <w:rPr>
          <w:rFonts w:ascii="Arial" w:hAnsi="Arial" w:cs="Arial"/>
          <w:color w:val="auto"/>
          <w:szCs w:val="20"/>
        </w:rPr>
        <w:t>_______________________________________________________________________</w:t>
      </w:r>
    </w:p>
    <w:p w14:paraId="240A7647" w14:textId="77777777" w:rsidR="00C34DBC" w:rsidRPr="00894840" w:rsidRDefault="00C34DBC" w:rsidP="00C34DBC">
      <w:pPr>
        <w:spacing w:line="360" w:lineRule="auto"/>
        <w:ind w:left="720"/>
        <w:rPr>
          <w:rFonts w:ascii="Arial" w:hAnsi="Arial" w:cs="Arial"/>
          <w:color w:val="auto"/>
          <w:szCs w:val="20"/>
        </w:rPr>
      </w:pPr>
    </w:p>
    <w:p w14:paraId="4068356B" w14:textId="18DE7368" w:rsidR="00C34DBC" w:rsidRDefault="00C34DBC" w:rsidP="00C34DBC">
      <w:pPr>
        <w:spacing w:line="230" w:lineRule="exact"/>
        <w:ind w:left="720"/>
        <w:jc w:val="both"/>
        <w:textAlignment w:val="baseline"/>
        <w:rPr>
          <w:rFonts w:ascii="Arial" w:eastAsia="Arial" w:hAnsi="Arial"/>
          <w:b/>
          <w:bCs/>
          <w:i/>
          <w:iCs/>
          <w:color w:val="000000"/>
        </w:rPr>
      </w:pPr>
      <w:r w:rsidRPr="00894840">
        <w:rPr>
          <w:rFonts w:ascii="Arial" w:eastAsia="Arial" w:hAnsi="Arial"/>
          <w:b/>
          <w:bCs/>
          <w:i/>
          <w:iCs/>
          <w:color w:val="auto"/>
        </w:rPr>
        <w:t>For those contracts subject to federal position limits under CFTC Regulation 150.2 and exemptions approved under CFTC Regulation 150.9, the Exchange will, in parallel, send the approval letter to both the market participant and the CFTC. At which point, the CFTC will have 10 business days (or 2 business days, if deemed a retroactive exemption associated with sudden or unforeseen increases in its bona fide hedging needs) to review the exemption. Additional guidance and expectations are provided in IFUS’s</w:t>
      </w:r>
      <w:r w:rsidRPr="000902E1">
        <w:rPr>
          <w:rFonts w:ascii="Arial" w:eastAsia="Arial" w:hAnsi="Arial"/>
          <w:b/>
          <w:bCs/>
          <w:i/>
          <w:iCs/>
          <w:color w:val="000000"/>
        </w:rPr>
        <w:t xml:space="preserve"> </w:t>
      </w:r>
      <w:hyperlink r:id="rId14" w:history="1">
        <w:r w:rsidRPr="000902E1">
          <w:rPr>
            <w:rStyle w:val="Hyperlink"/>
            <w:rFonts w:ascii="Arial" w:eastAsia="Arial" w:hAnsi="Arial"/>
            <w:b/>
            <w:bCs/>
            <w:i/>
            <w:iCs/>
          </w:rPr>
          <w:t>Guidance on Position Limits</w:t>
        </w:r>
      </w:hyperlink>
      <w:r w:rsidRPr="000902E1">
        <w:rPr>
          <w:rFonts w:ascii="Arial" w:eastAsia="Arial" w:hAnsi="Arial"/>
          <w:b/>
          <w:bCs/>
          <w:i/>
          <w:iCs/>
          <w:color w:val="000000"/>
        </w:rPr>
        <w:t xml:space="preserve"> document. </w:t>
      </w:r>
    </w:p>
    <w:p w14:paraId="28FE1AC0" w14:textId="3754F38B" w:rsidR="007C38C4" w:rsidRDefault="007C38C4" w:rsidP="00C34DBC">
      <w:pPr>
        <w:spacing w:line="230" w:lineRule="exact"/>
        <w:ind w:left="720"/>
        <w:jc w:val="both"/>
        <w:textAlignment w:val="baseline"/>
        <w:rPr>
          <w:rFonts w:ascii="Arial" w:eastAsia="Arial" w:hAnsi="Arial"/>
          <w:b/>
          <w:bCs/>
          <w:i/>
          <w:iCs/>
          <w:color w:val="000000"/>
        </w:rPr>
      </w:pPr>
    </w:p>
    <w:p w14:paraId="06AA98B4" w14:textId="11A56871" w:rsidR="007C38C4" w:rsidRPr="00A15D38" w:rsidRDefault="007C38C4" w:rsidP="00524743">
      <w:pPr>
        <w:pStyle w:val="ListParagraph"/>
        <w:numPr>
          <w:ilvl w:val="0"/>
          <w:numId w:val="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line="240" w:lineRule="auto"/>
        <w:ind w:right="-144"/>
        <w:rPr>
          <w:rFonts w:ascii="Arial" w:eastAsia="MS Mincho" w:hAnsi="Arial" w:cs="Arial"/>
          <w:color w:val="auto"/>
          <w:szCs w:val="20"/>
          <w:u w:val="single"/>
        </w:rPr>
      </w:pPr>
      <w:r w:rsidRPr="00894840">
        <w:rPr>
          <w:rFonts w:ascii="Arial" w:eastAsia="MS Mincho" w:hAnsi="Arial" w:cs="Arial"/>
          <w:color w:val="auto"/>
          <w:szCs w:val="20"/>
          <w:u w:val="single"/>
        </w:rPr>
        <w:t>Financial Distress Exemption:</w:t>
      </w:r>
    </w:p>
    <w:p w14:paraId="59B0DFEB" w14:textId="77777777" w:rsidR="007C38C4" w:rsidRPr="00894840" w:rsidRDefault="007C38C4" w:rsidP="007C38C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left" w:pos="9360"/>
        </w:tabs>
        <w:spacing w:line="240" w:lineRule="auto"/>
        <w:ind w:left="720" w:right="-144" w:hanging="720"/>
        <w:rPr>
          <w:rFonts w:ascii="Arial" w:eastAsia="MS Mincho" w:hAnsi="Arial" w:cs="Arial"/>
          <w:color w:val="auto"/>
          <w:szCs w:val="20"/>
        </w:rPr>
      </w:pPr>
    </w:p>
    <w:p w14:paraId="718B32DA" w14:textId="77777777" w:rsidR="007C38C4" w:rsidRPr="00894840" w:rsidRDefault="007C38C4" w:rsidP="007C38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s>
        <w:spacing w:line="240" w:lineRule="auto"/>
        <w:ind w:left="720"/>
        <w:jc w:val="both"/>
        <w:rPr>
          <w:rFonts w:ascii="Arial" w:eastAsia="MS Mincho" w:hAnsi="Arial" w:cs="Arial"/>
          <w:color w:val="auto"/>
          <w:szCs w:val="20"/>
        </w:rPr>
      </w:pPr>
      <w:r w:rsidRPr="00894840">
        <w:rPr>
          <w:rFonts w:ascii="Arial" w:eastAsia="MS Mincho" w:hAnsi="Arial" w:cs="Arial"/>
          <w:color w:val="auto"/>
          <w:szCs w:val="20"/>
        </w:rPr>
        <w:t xml:space="preserve">Exemptions may be requested for positions held by the applicant as a result of the financial distress of another market participant: (i) for commodities </w:t>
      </w:r>
      <w:r w:rsidRPr="00894840">
        <w:rPr>
          <w:rFonts w:ascii="Arial" w:hAnsi="Arial" w:cs="Arial"/>
          <w:color w:val="auto"/>
          <w:szCs w:val="20"/>
        </w:rPr>
        <w:t>not subject to CFTC Regulation 150.2</w:t>
      </w:r>
      <w:r w:rsidRPr="00894840">
        <w:rPr>
          <w:rFonts w:ascii="Arial" w:eastAsia="MS Mincho" w:hAnsi="Arial" w:cs="Arial"/>
          <w:color w:val="auto"/>
          <w:szCs w:val="20"/>
        </w:rPr>
        <w:t>, (ii) for commodities subject to federal position limits under CFTC Regulation 150.2 for quantities up to, but not exceeding, the applicable federal limit, or (iii) for commodities subject to federal position limits under CFTC Regulation 150.2 for quantities in excess of the applicable federal limit, provided, in such circumstances under (iii), the exemption has been approved by the Commission pursuant to CFTC Regulation 150.3(a)(3) and evidence of such approval has been furnished to the Exchange.</w:t>
      </w:r>
    </w:p>
    <w:p w14:paraId="510FF363" w14:textId="77777777" w:rsidR="007C38C4" w:rsidRPr="00894840" w:rsidRDefault="007C38C4" w:rsidP="00C34DBC">
      <w:pPr>
        <w:spacing w:line="230" w:lineRule="exact"/>
        <w:ind w:left="720"/>
        <w:jc w:val="both"/>
        <w:textAlignment w:val="baseline"/>
        <w:rPr>
          <w:rFonts w:ascii="Arial" w:eastAsia="Arial" w:hAnsi="Arial"/>
          <w:color w:val="auto"/>
        </w:rPr>
      </w:pPr>
    </w:p>
    <w:p w14:paraId="352F62FE" w14:textId="5516ED34" w:rsidR="00C34DBC" w:rsidRPr="00894840" w:rsidRDefault="00F217F6" w:rsidP="0047723C">
      <w:pPr>
        <w:ind w:left="720"/>
        <w:rPr>
          <w:color w:val="auto"/>
        </w:rPr>
      </w:pPr>
      <w:r w:rsidRPr="00894840">
        <w:rPr>
          <w:color w:val="auto"/>
        </w:rPr>
        <w:t>Explanation of circumstances warranting financial distress exemption:</w:t>
      </w:r>
    </w:p>
    <w:p w14:paraId="6B96D867" w14:textId="14F8D292" w:rsidR="00F217F6" w:rsidRPr="00894840" w:rsidRDefault="00F217F6" w:rsidP="0047723C">
      <w:pPr>
        <w:ind w:left="720"/>
        <w:rPr>
          <w:color w:val="auto"/>
        </w:rPr>
      </w:pPr>
    </w:p>
    <w:p w14:paraId="7CA61B6B" w14:textId="781ED3F0" w:rsidR="00F217F6" w:rsidRPr="00A15D38" w:rsidRDefault="00F217F6" w:rsidP="00F217F6">
      <w:pPr>
        <w:spacing w:line="360" w:lineRule="auto"/>
        <w:ind w:left="720"/>
        <w:rPr>
          <w:rFonts w:ascii="Arial" w:eastAsia="MS Mincho" w:hAnsi="Arial" w:cs="Arial"/>
          <w:color w:val="auto"/>
          <w:szCs w:val="20"/>
        </w:rPr>
      </w:pPr>
      <w:r w:rsidRPr="00894840">
        <w:rPr>
          <w:rFonts w:ascii="Arial" w:eastAsia="MS Mincho" w:hAnsi="Arial" w:cs="Arial"/>
          <w:color w:val="auto"/>
          <w:szCs w:val="20"/>
        </w:rPr>
        <w:t>_______________________________________________________________________</w:t>
      </w:r>
    </w:p>
    <w:p w14:paraId="0B76CFAF" w14:textId="00BA76CA" w:rsidR="00F217F6" w:rsidRDefault="00F217F6" w:rsidP="00F217F6">
      <w:pPr>
        <w:spacing w:line="360" w:lineRule="auto"/>
        <w:ind w:left="720"/>
        <w:rPr>
          <w:rFonts w:ascii="Arial" w:eastAsia="MS Mincho" w:hAnsi="Arial" w:cs="Arial"/>
          <w:color w:val="auto"/>
          <w:szCs w:val="20"/>
        </w:rPr>
      </w:pPr>
      <w:r w:rsidRPr="00894840">
        <w:rPr>
          <w:rFonts w:ascii="Arial" w:eastAsia="MS Mincho" w:hAnsi="Arial" w:cs="Arial"/>
          <w:color w:val="auto"/>
          <w:szCs w:val="20"/>
        </w:rPr>
        <w:t>_______________________________________________________________________</w:t>
      </w:r>
    </w:p>
    <w:p w14:paraId="3F77EDE4" w14:textId="77777777" w:rsidR="00932B9E" w:rsidRPr="00894840" w:rsidRDefault="00932B9E" w:rsidP="00F217F6">
      <w:pPr>
        <w:spacing w:line="360" w:lineRule="auto"/>
        <w:ind w:left="720"/>
        <w:rPr>
          <w:rFonts w:ascii="Arial" w:eastAsia="MS Mincho" w:hAnsi="Arial" w:cs="Arial"/>
          <w:color w:val="auto"/>
          <w:szCs w:val="20"/>
        </w:rPr>
      </w:pPr>
    </w:p>
    <w:p w14:paraId="57B5D152" w14:textId="0AC1FE3A" w:rsidR="00A15D38" w:rsidRPr="00A15D38" w:rsidRDefault="00A15D38" w:rsidP="00A15D38">
      <w:pPr>
        <w:ind w:left="720" w:hanging="720"/>
        <w:rPr>
          <w:rFonts w:ascii="Arial" w:eastAsia="MS PGothic" w:hAnsi="Arial" w:cs="Times New Roman"/>
          <w:color w:val="auto"/>
        </w:rPr>
      </w:pPr>
      <w:r w:rsidRPr="00A15D38">
        <w:rPr>
          <w:rFonts w:ascii="Arial" w:eastAsia="MS PGothic" w:hAnsi="Arial" w:cs="Times New Roman"/>
          <w:color w:val="auto"/>
        </w:rPr>
        <w:t xml:space="preserve">4. </w:t>
      </w:r>
      <w:r w:rsidRPr="00A15D38">
        <w:rPr>
          <w:rFonts w:ascii="Arial" w:eastAsia="MS PGothic" w:hAnsi="Arial" w:cs="Times New Roman"/>
          <w:color w:val="auto"/>
        </w:rPr>
        <w:tab/>
        <w:t xml:space="preserve">Please provide the names of all </w:t>
      </w:r>
      <w:r>
        <w:rPr>
          <w:rFonts w:ascii="Arial" w:eastAsia="MS PGothic" w:hAnsi="Arial" w:cs="Times New Roman"/>
          <w:color w:val="auto"/>
        </w:rPr>
        <w:t>Clearing Member(s) or Futures Commission Merchant(s)</w:t>
      </w:r>
      <w:r w:rsidRPr="00A15D38">
        <w:rPr>
          <w:rFonts w:ascii="Arial" w:eastAsia="MS PGothic" w:hAnsi="Arial" w:cs="Times New Roman"/>
          <w:color w:val="auto"/>
        </w:rPr>
        <w:t xml:space="preserve"> where the Applicant maintains accounts trading the futures and/or options for which an exemption is requested. </w:t>
      </w:r>
      <w:r>
        <w:rPr>
          <w:rFonts w:ascii="Arial" w:eastAsia="MS PGothic" w:hAnsi="Arial" w:cs="Times New Roman"/>
          <w:color w:val="auto"/>
        </w:rPr>
        <w:t xml:space="preserve">Please additionally list all relevant Clearing Account Number(s) at the aforementioned Clearing Member(s) or Futures Commission Merchant(s). </w:t>
      </w:r>
      <w:r w:rsidRPr="00A15D38">
        <w:rPr>
          <w:rFonts w:ascii="Arial" w:eastAsia="MS PGothic" w:hAnsi="Arial" w:cs="Times New Roman"/>
          <w:color w:val="auto"/>
        </w:rPr>
        <w:t>(</w:t>
      </w:r>
      <w:r>
        <w:rPr>
          <w:rFonts w:ascii="Arial" w:eastAsia="MS PGothic" w:hAnsi="Arial" w:cs="Times New Roman"/>
          <w:color w:val="auto"/>
        </w:rPr>
        <w:t>I</w:t>
      </w:r>
      <w:r w:rsidRPr="00A15D38">
        <w:rPr>
          <w:rFonts w:ascii="Arial" w:eastAsia="MS PGothic" w:hAnsi="Arial" w:cs="Times New Roman"/>
          <w:color w:val="auto"/>
        </w:rPr>
        <w:t>f necessary, attach an additional sheet to list all Clearing Accounts</w:t>
      </w:r>
      <w:r>
        <w:rPr>
          <w:rFonts w:ascii="Arial" w:eastAsia="MS PGothic" w:hAnsi="Arial" w:cs="Times New Roman"/>
          <w:color w:val="auto"/>
        </w:rPr>
        <w:t>.</w:t>
      </w:r>
      <w:r w:rsidRPr="00A15D38">
        <w:rPr>
          <w:rFonts w:ascii="Arial" w:eastAsia="MS PGothic" w:hAnsi="Arial" w:cs="Times New Roman"/>
          <w:color w:val="auto"/>
        </w:rPr>
        <w:t>)</w:t>
      </w:r>
    </w:p>
    <w:p w14:paraId="752C0AC8" w14:textId="77777777" w:rsidR="00A15D38" w:rsidRPr="00A15D38" w:rsidRDefault="00A15D38" w:rsidP="00A15D38">
      <w:pPr>
        <w:ind w:left="720" w:hanging="720"/>
        <w:rPr>
          <w:rFonts w:ascii="Arial" w:eastAsia="MS PGothic" w:hAnsi="Arial" w:cs="Times New Roman"/>
          <w:color w:val="auto"/>
        </w:rPr>
      </w:pPr>
    </w:p>
    <w:p w14:paraId="515F34D0" w14:textId="689D13B4" w:rsidR="00A15D38" w:rsidRPr="00A15D38" w:rsidRDefault="00A15D38" w:rsidP="00932B9E">
      <w:pPr>
        <w:ind w:left="720" w:hanging="720"/>
        <w:rPr>
          <w:rFonts w:ascii="Arial" w:eastAsia="MS PGothic" w:hAnsi="Arial" w:cs="Times New Roman"/>
          <w:color w:val="auto"/>
        </w:rPr>
      </w:pPr>
      <w:r w:rsidRPr="00A15D38">
        <w:rPr>
          <w:rFonts w:ascii="Arial" w:eastAsia="MS PGothic" w:hAnsi="Arial" w:cs="Times New Roman"/>
          <w:color w:val="auto"/>
        </w:rPr>
        <w:tab/>
        <w:t>______________________________________________________________________</w:t>
      </w:r>
    </w:p>
    <w:p w14:paraId="4C79E6EE" w14:textId="77777777" w:rsidR="00A15D38" w:rsidRPr="00A15D38" w:rsidRDefault="00A15D38" w:rsidP="00A15D38">
      <w:pPr>
        <w:ind w:left="720" w:hanging="720"/>
        <w:rPr>
          <w:rFonts w:ascii="Arial" w:eastAsia="MS PGothic" w:hAnsi="Arial" w:cs="Times New Roman"/>
          <w:color w:val="auto"/>
        </w:rPr>
      </w:pPr>
      <w:r w:rsidRPr="00A15D38">
        <w:rPr>
          <w:rFonts w:ascii="Arial" w:eastAsia="MS PGothic" w:hAnsi="Arial" w:cs="Times New Roman"/>
          <w:color w:val="auto"/>
        </w:rPr>
        <w:tab/>
        <w:t>______________________________________________________________________</w:t>
      </w:r>
    </w:p>
    <w:p w14:paraId="6C1FBE8F" w14:textId="77777777" w:rsidR="007C38C4" w:rsidRPr="00894840" w:rsidRDefault="007C38C4" w:rsidP="0047723C">
      <w:pPr>
        <w:rPr>
          <w:color w:val="auto"/>
        </w:rPr>
      </w:pPr>
    </w:p>
    <w:p w14:paraId="62C3D1E0" w14:textId="77777777" w:rsidR="00A15D38" w:rsidRDefault="00A15D38" w:rsidP="00524743">
      <w:pPr>
        <w:jc w:val="both"/>
        <w:rPr>
          <w:b/>
          <w:bCs/>
          <w:color w:val="auto"/>
        </w:rPr>
      </w:pPr>
    </w:p>
    <w:p w14:paraId="67B66CE5" w14:textId="3F959685" w:rsidR="0047723C" w:rsidRPr="00894840" w:rsidRDefault="0047723C" w:rsidP="00894840">
      <w:pPr>
        <w:jc w:val="both"/>
        <w:rPr>
          <w:b/>
          <w:bCs/>
          <w:color w:val="auto"/>
        </w:rPr>
      </w:pPr>
      <w:r w:rsidRPr="00894840">
        <w:rPr>
          <w:b/>
          <w:bCs/>
          <w:color w:val="auto"/>
        </w:rPr>
        <w:lastRenderedPageBreak/>
        <w:t>The exemption shall not be effective unless approved in writing by the Exchange and expires on the last trading day of the spot month</w:t>
      </w:r>
      <w:r w:rsidR="008B78BB">
        <w:rPr>
          <w:b/>
          <w:bCs/>
          <w:color w:val="auto"/>
        </w:rPr>
        <w:t xml:space="preserve"> (or notice period)</w:t>
      </w:r>
      <w:r w:rsidRPr="00894840">
        <w:rPr>
          <w:b/>
          <w:bCs/>
          <w:color w:val="auto"/>
        </w:rPr>
        <w:t xml:space="preserve"> to which it applies.</w:t>
      </w:r>
      <w:r w:rsidR="00524743" w:rsidRPr="00894840">
        <w:rPr>
          <w:b/>
          <w:bCs/>
          <w:color w:val="auto"/>
        </w:rPr>
        <w:t xml:space="preserve"> </w:t>
      </w:r>
      <w:r w:rsidRPr="00894840">
        <w:rPr>
          <w:b/>
          <w:bCs/>
          <w:color w:val="auto"/>
        </w:rPr>
        <w:t>Approval of this application shall not in any way limit the authority of the Exchange to take emergency or discretionary non-emergency action.</w:t>
      </w:r>
      <w:r w:rsidR="00524743" w:rsidRPr="00894840">
        <w:rPr>
          <w:b/>
          <w:bCs/>
          <w:color w:val="auto"/>
        </w:rPr>
        <w:t xml:space="preserve"> </w:t>
      </w:r>
      <w:r w:rsidRPr="00894840">
        <w:rPr>
          <w:b/>
          <w:bCs/>
          <w:color w:val="auto"/>
        </w:rPr>
        <w:t xml:space="preserve">The Exchange may condition or revoke an exemption based on the Applicant’s business needs, financial status and integrity, or on the liquidity, depth and volume of the market for which the exemption is </w:t>
      </w:r>
      <w:r w:rsidR="00524743" w:rsidRPr="00894840">
        <w:rPr>
          <w:b/>
          <w:bCs/>
          <w:color w:val="auto"/>
        </w:rPr>
        <w:t>requested</w:t>
      </w:r>
      <w:r w:rsidRPr="00894840">
        <w:rPr>
          <w:b/>
          <w:bCs/>
          <w:color w:val="auto"/>
        </w:rPr>
        <w:t>.</w:t>
      </w:r>
    </w:p>
    <w:p w14:paraId="5C7C7CAF" w14:textId="77777777" w:rsidR="0047723C" w:rsidRPr="00894840" w:rsidRDefault="0047723C" w:rsidP="0047723C">
      <w:pPr>
        <w:rPr>
          <w:color w:val="auto"/>
        </w:rPr>
      </w:pPr>
    </w:p>
    <w:p w14:paraId="5CA24FD6" w14:textId="77777777" w:rsidR="0047723C" w:rsidRPr="00894840" w:rsidRDefault="0047723C" w:rsidP="0047723C">
      <w:pPr>
        <w:rPr>
          <w:color w:val="auto"/>
        </w:rPr>
      </w:pPr>
    </w:p>
    <w:p w14:paraId="59DDBC07" w14:textId="5E2816E5" w:rsidR="0047723C" w:rsidRPr="00894840" w:rsidRDefault="0047723C" w:rsidP="00894840">
      <w:pPr>
        <w:pStyle w:val="ListParagraph"/>
        <w:numPr>
          <w:ilvl w:val="0"/>
          <w:numId w:val="3"/>
        </w:numPr>
        <w:spacing w:line="240" w:lineRule="auto"/>
        <w:jc w:val="both"/>
        <w:rPr>
          <w:color w:val="auto"/>
        </w:rPr>
      </w:pPr>
      <w:r w:rsidRPr="00894840">
        <w:rPr>
          <w:color w:val="auto"/>
        </w:rPr>
        <w:t>The Applicant agrees to the following:</w:t>
      </w:r>
    </w:p>
    <w:p w14:paraId="2A8338FA" w14:textId="77777777" w:rsidR="0047723C" w:rsidRPr="00894840" w:rsidRDefault="0047723C" w:rsidP="00894840">
      <w:pPr>
        <w:jc w:val="both"/>
        <w:rPr>
          <w:color w:val="auto"/>
        </w:rPr>
      </w:pPr>
    </w:p>
    <w:p w14:paraId="7661D384" w14:textId="7F609AFF" w:rsidR="009C72A8" w:rsidRPr="00894840" w:rsidRDefault="009C72A8" w:rsidP="00894840">
      <w:pPr>
        <w:numPr>
          <w:ilvl w:val="1"/>
          <w:numId w:val="3"/>
        </w:numPr>
        <w:spacing w:line="240" w:lineRule="auto"/>
        <w:jc w:val="both"/>
        <w:rPr>
          <w:color w:val="auto"/>
        </w:rPr>
      </w:pPr>
      <w:r w:rsidRPr="00894840">
        <w:rPr>
          <w:color w:val="auto"/>
        </w:rPr>
        <w:t xml:space="preserve">That the positions held pursuant to this application comply with the requirements of section 4a(c)(2) of the Act and the relevant definitions in CFTC Regulation 150, where applicable. </w:t>
      </w:r>
    </w:p>
    <w:p w14:paraId="072D9FE6" w14:textId="3C845376" w:rsidR="0047723C" w:rsidRPr="00894840" w:rsidRDefault="0047723C" w:rsidP="00894840">
      <w:pPr>
        <w:numPr>
          <w:ilvl w:val="1"/>
          <w:numId w:val="3"/>
        </w:numPr>
        <w:spacing w:line="240" w:lineRule="auto"/>
        <w:jc w:val="both"/>
        <w:rPr>
          <w:color w:val="auto"/>
        </w:rPr>
      </w:pPr>
      <w:r w:rsidRPr="00894840">
        <w:rPr>
          <w:color w:val="auto"/>
        </w:rPr>
        <w:t xml:space="preserve">That the intended transactions are </w:t>
      </w:r>
      <w:r w:rsidR="00BA5A36" w:rsidRPr="00894840">
        <w:rPr>
          <w:color w:val="auto"/>
        </w:rPr>
        <w:t xml:space="preserve">enumerated </w:t>
      </w:r>
      <w:r w:rsidRPr="00894840">
        <w:rPr>
          <w:color w:val="auto"/>
        </w:rPr>
        <w:t>bona fide hedging transactions</w:t>
      </w:r>
      <w:r w:rsidR="00BA5A36" w:rsidRPr="00894840">
        <w:rPr>
          <w:color w:val="auto"/>
        </w:rPr>
        <w:t xml:space="preserve"> included in Appendix A to Part 150 of the CFTC Regulations</w:t>
      </w:r>
      <w:r w:rsidRPr="00894840">
        <w:rPr>
          <w:color w:val="auto"/>
        </w:rPr>
        <w:t xml:space="preserve"> or non-enumerated  </w:t>
      </w:r>
      <w:r w:rsidR="00BA5A36" w:rsidRPr="00894840">
        <w:rPr>
          <w:color w:val="auto"/>
        </w:rPr>
        <w:t xml:space="preserve">bona fide hedge </w:t>
      </w:r>
      <w:r w:rsidRPr="00894840">
        <w:rPr>
          <w:color w:val="auto"/>
        </w:rPr>
        <w:t xml:space="preserve">transactions </w:t>
      </w:r>
      <w:r w:rsidR="00AF7417" w:rsidRPr="00894840">
        <w:rPr>
          <w:color w:val="auto"/>
        </w:rPr>
        <w:t xml:space="preserve">which are determined to be </w:t>
      </w:r>
      <w:r w:rsidRPr="00894840">
        <w:rPr>
          <w:color w:val="auto"/>
        </w:rPr>
        <w:t xml:space="preserve">consistent with </w:t>
      </w:r>
      <w:r w:rsidR="00674334" w:rsidRPr="00894840">
        <w:rPr>
          <w:color w:val="auto"/>
        </w:rPr>
        <w:t>bona fide hedging strategies and are approved in accordance with Exchange Rule 6.29 and CFTC Regulation 150.9, where applicable,</w:t>
      </w:r>
      <w:r w:rsidR="00524743" w:rsidRPr="00894840">
        <w:rPr>
          <w:color w:val="auto"/>
        </w:rPr>
        <w:t xml:space="preserve"> </w:t>
      </w:r>
      <w:r w:rsidRPr="00894840">
        <w:rPr>
          <w:color w:val="auto"/>
        </w:rPr>
        <w:t>and/or spread</w:t>
      </w:r>
      <w:r w:rsidR="00194E60" w:rsidRPr="00894840">
        <w:rPr>
          <w:color w:val="auto"/>
        </w:rPr>
        <w:t xml:space="preserve"> </w:t>
      </w:r>
      <w:r w:rsidRPr="00894840">
        <w:rPr>
          <w:color w:val="auto"/>
        </w:rPr>
        <w:t>transactions</w:t>
      </w:r>
      <w:r w:rsidR="00227D30" w:rsidRPr="00894840">
        <w:rPr>
          <w:color w:val="auto"/>
        </w:rPr>
        <w:t xml:space="preserve"> </w:t>
      </w:r>
      <w:r w:rsidR="00894840" w:rsidRPr="00894840">
        <w:rPr>
          <w:color w:val="auto"/>
        </w:rPr>
        <w:t xml:space="preserve">consistent with Appendix G to Part 150 </w:t>
      </w:r>
      <w:r w:rsidR="00227D30" w:rsidRPr="00894840">
        <w:rPr>
          <w:color w:val="auto"/>
        </w:rPr>
        <w:t>or risk management positions for quantities up to, but not exceeding, the applicable federal position limit</w:t>
      </w:r>
      <w:r w:rsidRPr="00894840">
        <w:rPr>
          <w:color w:val="auto"/>
        </w:rPr>
        <w:t>;</w:t>
      </w:r>
    </w:p>
    <w:p w14:paraId="7C5BDC32" w14:textId="77777777" w:rsidR="0047723C" w:rsidRPr="00894840" w:rsidRDefault="0047723C" w:rsidP="00894840">
      <w:pPr>
        <w:numPr>
          <w:ilvl w:val="1"/>
          <w:numId w:val="3"/>
        </w:numPr>
        <w:spacing w:line="240" w:lineRule="auto"/>
        <w:jc w:val="both"/>
        <w:rPr>
          <w:color w:val="auto"/>
        </w:rPr>
      </w:pPr>
      <w:r w:rsidRPr="00894840">
        <w:rPr>
          <w:color w:val="auto"/>
        </w:rPr>
        <w:t>That the Applicant will comply with whatever restrictions or limitations are imposed by the Exchange with regard to said positions;</w:t>
      </w:r>
    </w:p>
    <w:p w14:paraId="6B1B595B" w14:textId="4CA6B917" w:rsidR="0047723C" w:rsidRPr="00894840" w:rsidRDefault="0047723C" w:rsidP="00894840">
      <w:pPr>
        <w:numPr>
          <w:ilvl w:val="1"/>
          <w:numId w:val="3"/>
        </w:numPr>
        <w:spacing w:line="240" w:lineRule="auto"/>
        <w:jc w:val="both"/>
        <w:rPr>
          <w:color w:val="auto"/>
        </w:rPr>
      </w:pPr>
      <w:r w:rsidRPr="00894840">
        <w:rPr>
          <w:color w:val="auto"/>
        </w:rPr>
        <w:t>That the proposed positions comply with any applicable Federal requirements;</w:t>
      </w:r>
    </w:p>
    <w:p w14:paraId="133FE72E" w14:textId="4E7F13EC" w:rsidR="0047723C" w:rsidRPr="00894840" w:rsidRDefault="009C72A8" w:rsidP="00894840">
      <w:pPr>
        <w:numPr>
          <w:ilvl w:val="1"/>
          <w:numId w:val="3"/>
        </w:numPr>
        <w:spacing w:line="240" w:lineRule="auto"/>
        <w:jc w:val="both"/>
        <w:rPr>
          <w:color w:val="auto"/>
        </w:rPr>
      </w:pPr>
      <w:r w:rsidRPr="00894840">
        <w:rPr>
          <w:color w:val="auto"/>
        </w:rPr>
        <w:t>That the Applicant agrees to comply with all other Rules and requirements of the Exchange</w:t>
      </w:r>
      <w:r w:rsidR="0047723C" w:rsidRPr="00894840">
        <w:rPr>
          <w:color w:val="auto"/>
        </w:rPr>
        <w:t>;</w:t>
      </w:r>
    </w:p>
    <w:p w14:paraId="15949193" w14:textId="7C2C31FA" w:rsidR="0047723C" w:rsidRPr="00894840" w:rsidRDefault="009C72A8" w:rsidP="00894840">
      <w:pPr>
        <w:numPr>
          <w:ilvl w:val="1"/>
          <w:numId w:val="3"/>
        </w:numPr>
        <w:spacing w:line="240" w:lineRule="auto"/>
        <w:jc w:val="both"/>
        <w:rPr>
          <w:color w:val="auto"/>
        </w:rPr>
      </w:pPr>
      <w:r w:rsidRPr="00894840">
        <w:rPr>
          <w:color w:val="auto"/>
        </w:rPr>
        <w:t>That the applicant agrees to submit immediately a supplemental statement informing the Exchange of any material changes to the information provided in this application or circumstances affecting the positions and provide documentation of such changes, pursuant to Exchange Rule 6.29. Applicant agrees to submit immediately a supplemental statement to the Exchange explaining any change in circumstances affecting the positions;</w:t>
      </w:r>
      <w:r w:rsidR="0047723C" w:rsidRPr="00894840">
        <w:rPr>
          <w:color w:val="auto"/>
        </w:rPr>
        <w:t xml:space="preserve"> and</w:t>
      </w:r>
    </w:p>
    <w:p w14:paraId="7FA18146" w14:textId="5DD43E8D" w:rsidR="0047723C" w:rsidRPr="00894840" w:rsidRDefault="0047723C" w:rsidP="00894840">
      <w:pPr>
        <w:numPr>
          <w:ilvl w:val="1"/>
          <w:numId w:val="3"/>
        </w:numPr>
        <w:spacing w:line="240" w:lineRule="auto"/>
        <w:jc w:val="both"/>
        <w:rPr>
          <w:color w:val="auto"/>
        </w:rPr>
      </w:pPr>
      <w:r w:rsidRPr="00894840">
        <w:rPr>
          <w:color w:val="auto"/>
        </w:rPr>
        <w:t>That such positions will be initiated and liquidated in an orderly manner.</w:t>
      </w:r>
    </w:p>
    <w:p w14:paraId="29E6A734" w14:textId="192ABB1E" w:rsidR="009C72A8" w:rsidRPr="00894840" w:rsidRDefault="009C72A8" w:rsidP="00894840">
      <w:pPr>
        <w:numPr>
          <w:ilvl w:val="1"/>
          <w:numId w:val="3"/>
        </w:numPr>
        <w:spacing w:line="240" w:lineRule="auto"/>
        <w:jc w:val="both"/>
        <w:rPr>
          <w:color w:val="auto"/>
        </w:rPr>
      </w:pPr>
      <w:r w:rsidRPr="00894840">
        <w:rPr>
          <w:color w:val="auto"/>
        </w:rPr>
        <w:t>That the Applicant will provide such further information as the Exchange may request.</w:t>
      </w:r>
    </w:p>
    <w:p w14:paraId="225D728C" w14:textId="096CAE73" w:rsidR="0047723C" w:rsidRPr="00894840" w:rsidRDefault="0047723C" w:rsidP="0047723C">
      <w:pPr>
        <w:rPr>
          <w:color w:val="auto"/>
        </w:rPr>
      </w:pPr>
    </w:p>
    <w:p w14:paraId="296D1BE4" w14:textId="77777777" w:rsidR="00E33C2D" w:rsidRPr="00894840" w:rsidRDefault="00E33C2D" w:rsidP="0047723C">
      <w:pPr>
        <w:rPr>
          <w:color w:val="auto"/>
        </w:rPr>
      </w:pPr>
    </w:p>
    <w:p w14:paraId="76001FAD" w14:textId="77777777" w:rsidR="0047723C" w:rsidRPr="00894840" w:rsidRDefault="0047723C" w:rsidP="0047723C">
      <w:pPr>
        <w:rPr>
          <w:color w:val="auto"/>
        </w:rPr>
      </w:pPr>
      <w:r w:rsidRPr="00894840">
        <w:rPr>
          <w:color w:val="auto"/>
        </w:rPr>
        <w:t>Signature:   ________________________________</w:t>
      </w:r>
    </w:p>
    <w:p w14:paraId="7DCC203D" w14:textId="77777777" w:rsidR="0047723C" w:rsidRPr="00894840" w:rsidRDefault="0047723C" w:rsidP="0047723C">
      <w:pPr>
        <w:rPr>
          <w:color w:val="auto"/>
        </w:rPr>
      </w:pPr>
    </w:p>
    <w:p w14:paraId="1AFDAFAF" w14:textId="77777777" w:rsidR="0047723C" w:rsidRPr="00894840" w:rsidRDefault="0047723C" w:rsidP="0047723C">
      <w:pPr>
        <w:rPr>
          <w:color w:val="auto"/>
        </w:rPr>
      </w:pPr>
      <w:r w:rsidRPr="00894840">
        <w:rPr>
          <w:color w:val="auto"/>
        </w:rPr>
        <w:t>Name: ____________________________________</w:t>
      </w:r>
    </w:p>
    <w:p w14:paraId="1149993B" w14:textId="77777777" w:rsidR="0047723C" w:rsidRPr="00894840" w:rsidRDefault="0047723C" w:rsidP="0047723C">
      <w:pPr>
        <w:rPr>
          <w:color w:val="auto"/>
        </w:rPr>
      </w:pPr>
    </w:p>
    <w:p w14:paraId="4F8818F1" w14:textId="77777777" w:rsidR="0047723C" w:rsidRPr="00894840" w:rsidRDefault="0047723C" w:rsidP="0047723C">
      <w:pPr>
        <w:rPr>
          <w:color w:val="auto"/>
        </w:rPr>
      </w:pPr>
      <w:r w:rsidRPr="00894840">
        <w:rPr>
          <w:color w:val="auto"/>
        </w:rPr>
        <w:t>Title: _____________________________________</w:t>
      </w:r>
    </w:p>
    <w:p w14:paraId="3331AB58" w14:textId="77777777" w:rsidR="0047723C" w:rsidRPr="00894840" w:rsidRDefault="0047723C" w:rsidP="0047723C">
      <w:pPr>
        <w:rPr>
          <w:color w:val="auto"/>
        </w:rPr>
      </w:pPr>
    </w:p>
    <w:p w14:paraId="138727FD" w14:textId="77777777" w:rsidR="0047723C" w:rsidRPr="00894840" w:rsidRDefault="0047723C" w:rsidP="0047723C">
      <w:pPr>
        <w:rPr>
          <w:color w:val="auto"/>
        </w:rPr>
      </w:pPr>
      <w:r w:rsidRPr="00894840">
        <w:rPr>
          <w:color w:val="auto"/>
        </w:rPr>
        <w:t>Date: _____________________________________</w:t>
      </w:r>
    </w:p>
    <w:p w14:paraId="4315C04B" w14:textId="77777777" w:rsidR="0047723C" w:rsidRPr="00894840" w:rsidRDefault="0047723C" w:rsidP="0047723C">
      <w:pPr>
        <w:rPr>
          <w:color w:val="auto"/>
        </w:rPr>
      </w:pPr>
    </w:p>
    <w:p w14:paraId="347EDD9B" w14:textId="77777777" w:rsidR="0047723C" w:rsidRPr="00894840" w:rsidRDefault="0047723C" w:rsidP="0047723C">
      <w:pPr>
        <w:rPr>
          <w:color w:val="auto"/>
        </w:rPr>
      </w:pPr>
      <w:r w:rsidRPr="00894840">
        <w:rPr>
          <w:color w:val="auto"/>
        </w:rPr>
        <w:t>Phone: ____________________________________</w:t>
      </w:r>
    </w:p>
    <w:p w14:paraId="02084D6B" w14:textId="77777777" w:rsidR="0047723C" w:rsidRPr="00894840" w:rsidRDefault="0047723C" w:rsidP="0047723C">
      <w:pPr>
        <w:rPr>
          <w:color w:val="auto"/>
        </w:rPr>
      </w:pPr>
    </w:p>
    <w:p w14:paraId="138EA7A3" w14:textId="77777777" w:rsidR="0047723C" w:rsidRPr="00894840" w:rsidRDefault="0047723C" w:rsidP="0047723C">
      <w:pPr>
        <w:rPr>
          <w:color w:val="auto"/>
        </w:rPr>
      </w:pPr>
      <w:r w:rsidRPr="00894840">
        <w:rPr>
          <w:color w:val="auto"/>
        </w:rPr>
        <w:t>E-Mail Address: ____________________________</w:t>
      </w:r>
    </w:p>
    <w:p w14:paraId="62C1E0AC" w14:textId="77777777" w:rsidR="0047723C" w:rsidRPr="00894840" w:rsidRDefault="0047723C" w:rsidP="0047723C">
      <w:pPr>
        <w:rPr>
          <w:color w:val="auto"/>
        </w:rPr>
      </w:pPr>
    </w:p>
    <w:p w14:paraId="42D509C4" w14:textId="77777777" w:rsidR="0047723C" w:rsidRPr="00894840" w:rsidRDefault="0047723C" w:rsidP="0047723C">
      <w:pPr>
        <w:rPr>
          <w:color w:val="auto"/>
        </w:rPr>
      </w:pPr>
    </w:p>
    <w:p w14:paraId="01E47189" w14:textId="2ACA8EA8" w:rsidR="0047723C" w:rsidRPr="00894840" w:rsidRDefault="0047723C" w:rsidP="0047723C">
      <w:pPr>
        <w:rPr>
          <w:color w:val="auto"/>
        </w:rPr>
      </w:pPr>
      <w:r w:rsidRPr="00894840">
        <w:rPr>
          <w:color w:val="auto"/>
        </w:rPr>
        <w:t>Please designate a person to be contacted regarding</w:t>
      </w:r>
      <w:r w:rsidR="00AF7417" w:rsidRPr="00894840">
        <w:rPr>
          <w:color w:val="auto"/>
        </w:rPr>
        <w:t xml:space="preserve"> </w:t>
      </w:r>
      <w:r w:rsidRPr="00894840">
        <w:rPr>
          <w:color w:val="auto"/>
        </w:rPr>
        <w:t>questions on this request</w:t>
      </w:r>
      <w:r w:rsidR="00D865EC" w:rsidRPr="00894840">
        <w:rPr>
          <w:color w:val="auto"/>
        </w:rPr>
        <w:t>,</w:t>
      </w:r>
      <w:r w:rsidRPr="00894840">
        <w:rPr>
          <w:color w:val="auto"/>
        </w:rPr>
        <w:t xml:space="preserve"> if other than above:</w:t>
      </w:r>
    </w:p>
    <w:p w14:paraId="33E43344" w14:textId="77777777" w:rsidR="0047723C" w:rsidRPr="00894840" w:rsidRDefault="0047723C" w:rsidP="0047723C">
      <w:pPr>
        <w:rPr>
          <w:color w:val="auto"/>
        </w:rPr>
      </w:pPr>
    </w:p>
    <w:p w14:paraId="548F8EC5" w14:textId="77777777" w:rsidR="0047723C" w:rsidRPr="00894840" w:rsidRDefault="0047723C" w:rsidP="0047723C">
      <w:pPr>
        <w:rPr>
          <w:color w:val="auto"/>
        </w:rPr>
      </w:pPr>
      <w:r w:rsidRPr="00894840">
        <w:rPr>
          <w:color w:val="auto"/>
        </w:rPr>
        <w:lastRenderedPageBreak/>
        <w:t>Name: __________________________________</w:t>
      </w:r>
    </w:p>
    <w:p w14:paraId="22650EF5" w14:textId="77777777" w:rsidR="0047723C" w:rsidRPr="00894840" w:rsidRDefault="0047723C" w:rsidP="0047723C">
      <w:pPr>
        <w:rPr>
          <w:color w:val="auto"/>
        </w:rPr>
      </w:pPr>
    </w:p>
    <w:p w14:paraId="19FB9C5B" w14:textId="77777777" w:rsidR="0047723C" w:rsidRPr="00894840" w:rsidRDefault="0047723C" w:rsidP="0047723C">
      <w:pPr>
        <w:rPr>
          <w:color w:val="auto"/>
        </w:rPr>
      </w:pPr>
      <w:r w:rsidRPr="00894840">
        <w:rPr>
          <w:color w:val="auto"/>
        </w:rPr>
        <w:t>Phone: __________________________________</w:t>
      </w:r>
    </w:p>
    <w:p w14:paraId="64AA103F" w14:textId="77777777" w:rsidR="0047723C" w:rsidRPr="00894840" w:rsidRDefault="0047723C" w:rsidP="0047723C">
      <w:pPr>
        <w:rPr>
          <w:color w:val="auto"/>
        </w:rPr>
      </w:pPr>
    </w:p>
    <w:p w14:paraId="6B3E1BC6" w14:textId="77777777" w:rsidR="0047723C" w:rsidRPr="00894840" w:rsidRDefault="0047723C" w:rsidP="0047723C">
      <w:pPr>
        <w:rPr>
          <w:color w:val="auto"/>
        </w:rPr>
      </w:pPr>
      <w:r w:rsidRPr="00894840">
        <w:rPr>
          <w:color w:val="auto"/>
        </w:rPr>
        <w:t>E-Mail Address: ___________________________</w:t>
      </w:r>
    </w:p>
    <w:p w14:paraId="48BC616E" w14:textId="77777777" w:rsidR="0047723C" w:rsidRPr="00894840" w:rsidRDefault="0047723C" w:rsidP="0047723C">
      <w:pPr>
        <w:rPr>
          <w:color w:val="auto"/>
        </w:rPr>
      </w:pPr>
    </w:p>
    <w:p w14:paraId="7DF2A561" w14:textId="77777777" w:rsidR="0047723C" w:rsidRPr="00894840" w:rsidRDefault="0047723C" w:rsidP="0047723C">
      <w:pPr>
        <w:rPr>
          <w:color w:val="auto"/>
        </w:rPr>
      </w:pPr>
    </w:p>
    <w:p w14:paraId="5952B026" w14:textId="77777777" w:rsidR="001D2751" w:rsidRPr="00894840" w:rsidRDefault="001D2751" w:rsidP="001D2751">
      <w:pPr>
        <w:rPr>
          <w:color w:val="auto"/>
        </w:rPr>
      </w:pPr>
      <w:r w:rsidRPr="00894840">
        <w:rPr>
          <w:color w:val="auto"/>
        </w:rPr>
        <w:t>Please return completed forms to:</w:t>
      </w:r>
    </w:p>
    <w:p w14:paraId="543C9365" w14:textId="77777777" w:rsidR="001D2751" w:rsidRPr="00894840" w:rsidRDefault="001D2751" w:rsidP="001D2751">
      <w:pPr>
        <w:rPr>
          <w:color w:val="auto"/>
          <w:lang w:val="pt-BR"/>
        </w:rPr>
      </w:pPr>
    </w:p>
    <w:p w14:paraId="7672DE19" w14:textId="7B07B203" w:rsidR="001D2751" w:rsidRPr="00894840" w:rsidRDefault="009C72A8" w:rsidP="001D2751">
      <w:pPr>
        <w:rPr>
          <w:color w:val="auto"/>
        </w:rPr>
      </w:pPr>
      <w:r w:rsidRPr="00894840">
        <w:rPr>
          <w:color w:val="auto"/>
        </w:rPr>
        <w:t>Market Surveillance Department</w:t>
      </w:r>
    </w:p>
    <w:p w14:paraId="5CE1273D" w14:textId="37DF39CA" w:rsidR="009C72A8" w:rsidRPr="00894840" w:rsidRDefault="009C72A8" w:rsidP="001D2751">
      <w:pPr>
        <w:rPr>
          <w:b/>
          <w:bCs/>
          <w:color w:val="28A9DA" w:themeColor="accent1" w:themeShade="BF"/>
          <w:lang w:val="pt-BR"/>
        </w:rPr>
      </w:pPr>
      <w:hyperlink r:id="rId15" w:history="1">
        <w:r w:rsidRPr="00894840">
          <w:rPr>
            <w:rStyle w:val="Hyperlink"/>
            <w:b/>
            <w:bCs/>
            <w:color w:val="28A9DA" w:themeColor="accent1" w:themeShade="BF"/>
            <w:u w:val="none"/>
            <w:lang w:val="pt-BR"/>
          </w:rPr>
          <w:t>MarketSurveillance-US@ice.com</w:t>
        </w:r>
      </w:hyperlink>
      <w:r w:rsidRPr="00894840">
        <w:rPr>
          <w:b/>
          <w:bCs/>
          <w:color w:val="28A9DA" w:themeColor="accent1" w:themeShade="BF"/>
          <w:lang w:val="pt-BR"/>
        </w:rPr>
        <w:t xml:space="preserve"> </w:t>
      </w:r>
    </w:p>
    <w:p w14:paraId="4D8AA2CD" w14:textId="77777777" w:rsidR="00274927" w:rsidRDefault="00274927" w:rsidP="001D2751">
      <w:pPr>
        <w:rPr>
          <w:lang w:val="pt-BR"/>
        </w:rPr>
      </w:pPr>
    </w:p>
    <w:p w14:paraId="5C96EBFB" w14:textId="77777777" w:rsidR="002C5685" w:rsidRPr="00605341" w:rsidRDefault="002C5685" w:rsidP="0090702B"/>
    <w:sectPr w:rsidR="002C5685" w:rsidRPr="00605341" w:rsidSect="00ED3DAF">
      <w:headerReference w:type="even" r:id="rId16"/>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3C851" w14:textId="77777777" w:rsidR="008E6E08" w:rsidRDefault="008E6E08" w:rsidP="00A73DA2">
      <w:pPr>
        <w:spacing w:line="240" w:lineRule="auto"/>
      </w:pPr>
      <w:r>
        <w:separator/>
      </w:r>
    </w:p>
  </w:endnote>
  <w:endnote w:type="continuationSeparator" w:id="0">
    <w:p w14:paraId="0EC5FEB4" w14:textId="77777777" w:rsidR="008E6E08" w:rsidRDefault="008E6E08" w:rsidP="00A73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A181" w14:textId="77777777" w:rsidR="00DA445C" w:rsidRDefault="00DA445C" w:rsidP="002C5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3A8E7" w14:textId="1FC42443" w:rsidR="00DA445C" w:rsidRDefault="00932B9E" w:rsidP="00A73DA2">
    <w:pPr>
      <w:pStyle w:val="Footer"/>
      <w:ind w:right="360"/>
    </w:pPr>
    <w:sdt>
      <w:sdtPr>
        <w:id w:val="969400743"/>
        <w:temporary/>
        <w:showingPlcHdr/>
      </w:sdtPr>
      <w:sdtEndPr/>
      <w:sdtContent>
        <w:r w:rsidR="00DA445C">
          <w:t>[Type text]</w:t>
        </w:r>
      </w:sdtContent>
    </w:sdt>
    <w:r w:rsidR="00DA445C">
      <w:ptab w:relativeTo="margin" w:alignment="center" w:leader="none"/>
    </w:r>
    <w:sdt>
      <w:sdtPr>
        <w:id w:val="969400748"/>
        <w:temporary/>
        <w:showingPlcHdr/>
      </w:sdtPr>
      <w:sdtEndPr/>
      <w:sdtContent>
        <w:r w:rsidR="00DA445C">
          <w:t>[Type text]</w:t>
        </w:r>
      </w:sdtContent>
    </w:sdt>
    <w:r w:rsidR="00DA445C">
      <w:ptab w:relativeTo="margin" w:alignment="right" w:leader="none"/>
    </w:r>
    <w:sdt>
      <w:sdtPr>
        <w:id w:val="969400753"/>
        <w:temporary/>
        <w:showingPlcHdr/>
      </w:sdtPr>
      <w:sdtEndPr/>
      <w:sdtContent>
        <w:r w:rsidR="00DA445C">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2124048"/>
      <w:docPartObj>
        <w:docPartGallery w:val="Page Numbers (Bottom of Page)"/>
        <w:docPartUnique/>
      </w:docPartObj>
    </w:sdtPr>
    <w:sdtEndPr>
      <w:rPr>
        <w:noProof/>
      </w:rPr>
    </w:sdtEndPr>
    <w:sdtContent>
      <w:p w14:paraId="47033ED6" w14:textId="0FBBFAE1" w:rsidR="00526B2E" w:rsidRDefault="00526B2E">
        <w:pPr>
          <w:pStyle w:val="Footer"/>
          <w:jc w:val="center"/>
        </w:pPr>
        <w:r>
          <w:fldChar w:fldCharType="begin"/>
        </w:r>
        <w:r>
          <w:instrText xml:space="preserve"> PAGE   \* MERGEFORMAT </w:instrText>
        </w:r>
        <w:r>
          <w:fldChar w:fldCharType="separate"/>
        </w:r>
        <w:r w:rsidR="00BE68FA">
          <w:rPr>
            <w:noProof/>
          </w:rPr>
          <w:t>4</w:t>
        </w:r>
        <w:r>
          <w:rPr>
            <w:noProof/>
          </w:rPr>
          <w:fldChar w:fldCharType="end"/>
        </w:r>
      </w:p>
    </w:sdtContent>
  </w:sdt>
  <w:p w14:paraId="637B2731" w14:textId="77777777" w:rsidR="00526B2E" w:rsidRDefault="00526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55B85" w14:textId="77777777" w:rsidR="008E6E08" w:rsidRDefault="008E6E08" w:rsidP="00A73DA2">
      <w:pPr>
        <w:spacing w:line="240" w:lineRule="auto"/>
      </w:pPr>
      <w:r>
        <w:separator/>
      </w:r>
    </w:p>
  </w:footnote>
  <w:footnote w:type="continuationSeparator" w:id="0">
    <w:p w14:paraId="12C9CD47" w14:textId="77777777" w:rsidR="008E6E08" w:rsidRDefault="008E6E08" w:rsidP="00A73DA2">
      <w:pPr>
        <w:spacing w:line="240" w:lineRule="auto"/>
      </w:pPr>
      <w:r>
        <w:continuationSeparator/>
      </w:r>
    </w:p>
  </w:footnote>
  <w:footnote w:id="1">
    <w:p w14:paraId="33236B2C" w14:textId="4D2EBD2B" w:rsidR="00214949" w:rsidRPr="00894840" w:rsidRDefault="00214949" w:rsidP="00214949">
      <w:pPr>
        <w:pStyle w:val="FootnoteText"/>
        <w:rPr>
          <w:rFonts w:ascii="Arial" w:hAnsi="Arial" w:cs="Arial"/>
          <w:sz w:val="16"/>
          <w:szCs w:val="16"/>
        </w:rPr>
      </w:pPr>
      <w:r w:rsidRPr="00894840">
        <w:rPr>
          <w:rStyle w:val="FootnoteReference"/>
          <w:rFonts w:ascii="Arial" w:hAnsi="Arial" w:cs="Arial"/>
          <w:sz w:val="16"/>
          <w:szCs w:val="16"/>
        </w:rPr>
        <w:footnoteRef/>
      </w:r>
      <w:r w:rsidRPr="00894840">
        <w:rPr>
          <w:rFonts w:ascii="Arial" w:hAnsi="Arial" w:cs="Arial"/>
          <w:sz w:val="16"/>
          <w:szCs w:val="16"/>
        </w:rPr>
        <w:t xml:space="preserve"> Please use the Single and Net Overall Months exemption form when applying for exemptions that fall in those categories.  Forms are available upon request from the Market Surveillance Department at </w:t>
      </w:r>
      <w:r w:rsidRPr="0066450B">
        <w:rPr>
          <w:rFonts w:ascii="Arial" w:hAnsi="Arial" w:cs="Arial"/>
          <w:b/>
          <w:bCs/>
          <w:color w:val="28A9DA" w:themeColor="accent1" w:themeShade="BF"/>
          <w:sz w:val="16"/>
          <w:szCs w:val="16"/>
        </w:rPr>
        <w:t>MarketSurveillance-US@ice.com</w:t>
      </w:r>
      <w:r w:rsidRPr="00894840">
        <w:rPr>
          <w:rFonts w:ascii="Arial" w:hAnsi="Arial" w:cs="Arial"/>
          <w:sz w:val="16"/>
          <w:szCs w:val="16"/>
        </w:rPr>
        <w:t>.</w:t>
      </w:r>
    </w:p>
    <w:p w14:paraId="5C5E05AA" w14:textId="70D33758" w:rsidR="00214949" w:rsidRPr="00894840" w:rsidRDefault="00214949">
      <w:pPr>
        <w:pStyle w:val="FootnoteText"/>
        <w:rPr>
          <w:rFonts w:ascii="Arial" w:hAnsi="Arial" w:cs="Arial"/>
          <w:sz w:val="16"/>
          <w:szCs w:val="16"/>
        </w:rPr>
      </w:pPr>
    </w:p>
  </w:footnote>
  <w:footnote w:id="2">
    <w:p w14:paraId="62F8F2DE" w14:textId="31060663" w:rsidR="005F2BD8" w:rsidRPr="00214949" w:rsidRDefault="005F2BD8" w:rsidP="00894840">
      <w:pPr>
        <w:pStyle w:val="FootnoteText"/>
        <w:jc w:val="both"/>
        <w:rPr>
          <w:rFonts w:ascii="Arial" w:hAnsi="Arial" w:cs="Arial"/>
          <w:sz w:val="16"/>
          <w:szCs w:val="16"/>
        </w:rPr>
      </w:pPr>
      <w:r w:rsidRPr="00214949">
        <w:rPr>
          <w:rStyle w:val="FootnoteReference"/>
          <w:rFonts w:ascii="Arial" w:hAnsi="Arial" w:cs="Arial"/>
          <w:sz w:val="16"/>
          <w:szCs w:val="16"/>
        </w:rPr>
        <w:footnoteRef/>
      </w:r>
      <w:r w:rsidRPr="00214949">
        <w:rPr>
          <w:rFonts w:ascii="Arial" w:hAnsi="Arial" w:cs="Arial"/>
          <w:sz w:val="16"/>
          <w:szCs w:val="16"/>
        </w:rPr>
        <w:t xml:space="preserve"> For applications based on hedges of anticipated merchandising: </w:t>
      </w:r>
      <w:r w:rsidR="003A1872" w:rsidRPr="00214949">
        <w:rPr>
          <w:rFonts w:ascii="Arial" w:hAnsi="Arial" w:cs="Arial"/>
          <w:sz w:val="16"/>
          <w:szCs w:val="16"/>
        </w:rPr>
        <w:t xml:space="preserve">CFTC requirements provide that the </w:t>
      </w:r>
      <w:r w:rsidRPr="00214949">
        <w:rPr>
          <w:rFonts w:ascii="Arial" w:hAnsi="Arial" w:cs="Arial"/>
          <w:sz w:val="16"/>
          <w:szCs w:val="16"/>
        </w:rPr>
        <w:t>position requested must not exceed 12 months of current or anticipated purchase or sale requirements of the same cash commodity that is anticipated to be purchased or sold. The applicant seeking such exemption is a merchant handling the underlying commodity that is subject to the anticipatory merchandising hedge, and such merchant must be entering into the position solely for purposes related to its merchandising business, for which it has a demonstrated history of buying and selling the underlying commodity pursuant to such business’ operations.</w:t>
      </w:r>
      <w:r w:rsidR="003A1872" w:rsidRPr="00214949">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F69EB" w14:textId="77777777" w:rsidR="00DA445C" w:rsidRDefault="00932B9E">
    <w:pPr>
      <w:pStyle w:val="Header"/>
    </w:pPr>
    <w:sdt>
      <w:sdtPr>
        <w:id w:val="171999623"/>
        <w:placeholder>
          <w:docPart w:val="C94AD405D3636E48B2E1371B365833FF"/>
        </w:placeholder>
        <w:temporary/>
        <w:showingPlcHdr/>
      </w:sdtPr>
      <w:sdtEndPr/>
      <w:sdtContent>
        <w:r w:rsidR="00DA445C">
          <w:t>[Type text]</w:t>
        </w:r>
      </w:sdtContent>
    </w:sdt>
    <w:r w:rsidR="00DA445C">
      <w:ptab w:relativeTo="margin" w:alignment="center" w:leader="none"/>
    </w:r>
    <w:sdt>
      <w:sdtPr>
        <w:id w:val="171999624"/>
        <w:placeholder>
          <w:docPart w:val="AB69599A987CC84FA2D73F40DBE5C0A5"/>
        </w:placeholder>
        <w:temporary/>
        <w:showingPlcHdr/>
      </w:sdtPr>
      <w:sdtEndPr/>
      <w:sdtContent>
        <w:r w:rsidR="00DA445C">
          <w:t>[Type text]</w:t>
        </w:r>
      </w:sdtContent>
    </w:sdt>
    <w:r w:rsidR="00DA445C">
      <w:ptab w:relativeTo="margin" w:alignment="right" w:leader="none"/>
    </w:r>
    <w:sdt>
      <w:sdtPr>
        <w:id w:val="171999625"/>
        <w:placeholder>
          <w:docPart w:val="E9E57963B2B69B4EB6F1752D65FD830E"/>
        </w:placeholder>
        <w:temporary/>
        <w:showingPlcHdr/>
      </w:sdtPr>
      <w:sdtEndPr/>
      <w:sdtContent>
        <w:r w:rsidR="00DA445C">
          <w:t>[Type text]</w:t>
        </w:r>
      </w:sdtContent>
    </w:sdt>
  </w:p>
  <w:p w14:paraId="2653911A" w14:textId="77777777" w:rsidR="00DA445C" w:rsidRDefault="00DA4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56C6"/>
    <w:multiLevelType w:val="hybridMultilevel"/>
    <w:tmpl w:val="7D42AB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6E31DB"/>
    <w:multiLevelType w:val="hybridMultilevel"/>
    <w:tmpl w:val="BC8A7D5A"/>
    <w:lvl w:ilvl="0" w:tplc="0409000F">
      <w:start w:val="5"/>
      <w:numFmt w:val="decimal"/>
      <w:lvlText w:val="%1."/>
      <w:lvlJc w:val="left"/>
      <w:pPr>
        <w:tabs>
          <w:tab w:val="num" w:pos="720"/>
        </w:tabs>
        <w:ind w:left="720" w:hanging="360"/>
      </w:pPr>
      <w:rPr>
        <w:rFonts w:hint="default"/>
      </w:rPr>
    </w:lvl>
    <w:lvl w:ilvl="1" w:tplc="547C9E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E77D71"/>
    <w:multiLevelType w:val="hybridMultilevel"/>
    <w:tmpl w:val="B74C6C0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201958"/>
    <w:multiLevelType w:val="hybridMultilevel"/>
    <w:tmpl w:val="1B12D634"/>
    <w:lvl w:ilvl="0" w:tplc="5DDA0E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A70D4"/>
    <w:multiLevelType w:val="hybridMultilevel"/>
    <w:tmpl w:val="4216BAA4"/>
    <w:lvl w:ilvl="0" w:tplc="1A6E316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DAD638F"/>
    <w:multiLevelType w:val="hybridMultilevel"/>
    <w:tmpl w:val="13ECA4AC"/>
    <w:lvl w:ilvl="0" w:tplc="D2C67F8E">
      <w:start w:val="1"/>
      <w:numFmt w:val="lowerLetter"/>
      <w:lvlText w:val="(%1)"/>
      <w:lvlJc w:val="left"/>
      <w:pPr>
        <w:ind w:left="460" w:hanging="305"/>
      </w:pPr>
      <w:rPr>
        <w:rFonts w:ascii="Times New Roman" w:eastAsia="Times New Roman" w:hAnsi="Times New Roman" w:cs="Times New Roman" w:hint="default"/>
        <w:w w:val="100"/>
        <w:sz w:val="22"/>
        <w:szCs w:val="22"/>
        <w:lang w:val="en-US" w:eastAsia="en-US" w:bidi="en-US"/>
      </w:rPr>
    </w:lvl>
    <w:lvl w:ilvl="1" w:tplc="FB661808">
      <w:start w:val="1"/>
      <w:numFmt w:val="lowerRoman"/>
      <w:lvlText w:val="(%2)"/>
      <w:lvlJc w:val="left"/>
      <w:pPr>
        <w:ind w:left="1444" w:hanging="264"/>
      </w:pPr>
      <w:rPr>
        <w:rFonts w:ascii="Arial" w:eastAsia="Times New Roman" w:hAnsi="Arial" w:cs="Arial" w:hint="default"/>
        <w:w w:val="100"/>
        <w:sz w:val="20"/>
        <w:szCs w:val="20"/>
        <w:lang w:val="en-US" w:eastAsia="en-US" w:bidi="en-US"/>
      </w:rPr>
    </w:lvl>
    <w:lvl w:ilvl="2" w:tplc="E6F6EF08">
      <w:numFmt w:val="bullet"/>
      <w:lvlText w:val="•"/>
      <w:lvlJc w:val="left"/>
      <w:pPr>
        <w:ind w:left="2388" w:hanging="264"/>
      </w:pPr>
      <w:rPr>
        <w:lang w:val="en-US" w:eastAsia="en-US" w:bidi="en-US"/>
      </w:rPr>
    </w:lvl>
    <w:lvl w:ilvl="3" w:tplc="C5EA47B4">
      <w:numFmt w:val="bullet"/>
      <w:lvlText w:val="•"/>
      <w:lvlJc w:val="left"/>
      <w:pPr>
        <w:ind w:left="3337" w:hanging="264"/>
      </w:pPr>
      <w:rPr>
        <w:lang w:val="en-US" w:eastAsia="en-US" w:bidi="en-US"/>
      </w:rPr>
    </w:lvl>
    <w:lvl w:ilvl="4" w:tplc="1412733E">
      <w:numFmt w:val="bullet"/>
      <w:lvlText w:val="•"/>
      <w:lvlJc w:val="left"/>
      <w:pPr>
        <w:ind w:left="4286" w:hanging="264"/>
      </w:pPr>
      <w:rPr>
        <w:lang w:val="en-US" w:eastAsia="en-US" w:bidi="en-US"/>
      </w:rPr>
    </w:lvl>
    <w:lvl w:ilvl="5" w:tplc="8076C5FA">
      <w:numFmt w:val="bullet"/>
      <w:lvlText w:val="•"/>
      <w:lvlJc w:val="left"/>
      <w:pPr>
        <w:ind w:left="5235" w:hanging="264"/>
      </w:pPr>
      <w:rPr>
        <w:lang w:val="en-US" w:eastAsia="en-US" w:bidi="en-US"/>
      </w:rPr>
    </w:lvl>
    <w:lvl w:ilvl="6" w:tplc="992E1960">
      <w:numFmt w:val="bullet"/>
      <w:lvlText w:val="•"/>
      <w:lvlJc w:val="left"/>
      <w:pPr>
        <w:ind w:left="6184" w:hanging="264"/>
      </w:pPr>
      <w:rPr>
        <w:lang w:val="en-US" w:eastAsia="en-US" w:bidi="en-US"/>
      </w:rPr>
    </w:lvl>
    <w:lvl w:ilvl="7" w:tplc="FB989CF0">
      <w:numFmt w:val="bullet"/>
      <w:lvlText w:val="•"/>
      <w:lvlJc w:val="left"/>
      <w:pPr>
        <w:ind w:left="7133" w:hanging="264"/>
      </w:pPr>
      <w:rPr>
        <w:lang w:val="en-US" w:eastAsia="en-US" w:bidi="en-US"/>
      </w:rPr>
    </w:lvl>
    <w:lvl w:ilvl="8" w:tplc="34A860DA">
      <w:numFmt w:val="bullet"/>
      <w:lvlText w:val="•"/>
      <w:lvlJc w:val="left"/>
      <w:pPr>
        <w:ind w:left="8082" w:hanging="264"/>
      </w:pPr>
      <w:rPr>
        <w:lang w:val="en-US" w:eastAsia="en-US" w:bidi="en-US"/>
      </w:rPr>
    </w:lvl>
  </w:abstractNum>
  <w:abstractNum w:abstractNumId="6" w15:restartNumberingAfterBreak="0">
    <w:nsid w:val="6EEC1027"/>
    <w:multiLevelType w:val="hybridMultilevel"/>
    <w:tmpl w:val="1CFC6C64"/>
    <w:lvl w:ilvl="0" w:tplc="384E5506">
      <w:start w:val="1"/>
      <w:numFmt w:val="lowerLetter"/>
      <w:lvlText w:val="%1."/>
      <w:lvlJc w:val="left"/>
      <w:pPr>
        <w:ind w:left="720" w:hanging="360"/>
      </w:pPr>
      <w:rPr>
        <w:rFonts w:cstheme="minorBidi" w:hint="default"/>
        <w:color w:val="565A5C" w:themeColor="accent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861350">
    <w:abstractNumId w:val="2"/>
  </w:num>
  <w:num w:numId="2" w16cid:durableId="942104304">
    <w:abstractNumId w:val="0"/>
  </w:num>
  <w:num w:numId="3" w16cid:durableId="1823539304">
    <w:abstractNumId w:val="1"/>
  </w:num>
  <w:num w:numId="4" w16cid:durableId="595406766">
    <w:abstractNumId w:val="4"/>
  </w:num>
  <w:num w:numId="5" w16cid:durableId="109983343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6" w16cid:durableId="725572269">
    <w:abstractNumId w:val="6"/>
  </w:num>
  <w:num w:numId="7" w16cid:durableId="1349255692">
    <w:abstractNumId w:val="3"/>
  </w:num>
  <w:num w:numId="8" w16cid:durableId="2591033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72"/>
    <w:rsid w:val="00013FD9"/>
    <w:rsid w:val="000178D0"/>
    <w:rsid w:val="0007648C"/>
    <w:rsid w:val="00080063"/>
    <w:rsid w:val="000A1EC8"/>
    <w:rsid w:val="000E413B"/>
    <w:rsid w:val="001000C4"/>
    <w:rsid w:val="00120F1E"/>
    <w:rsid w:val="0013488B"/>
    <w:rsid w:val="0018440C"/>
    <w:rsid w:val="00194E60"/>
    <w:rsid w:val="001C3307"/>
    <w:rsid w:val="001D2751"/>
    <w:rsid w:val="001F5803"/>
    <w:rsid w:val="00214949"/>
    <w:rsid w:val="00227D30"/>
    <w:rsid w:val="00246B2F"/>
    <w:rsid w:val="00274927"/>
    <w:rsid w:val="00285EC3"/>
    <w:rsid w:val="002867F9"/>
    <w:rsid w:val="002C5685"/>
    <w:rsid w:val="002D3B65"/>
    <w:rsid w:val="002F233C"/>
    <w:rsid w:val="002F514A"/>
    <w:rsid w:val="002F58AD"/>
    <w:rsid w:val="00300AA5"/>
    <w:rsid w:val="0038143C"/>
    <w:rsid w:val="003907EC"/>
    <w:rsid w:val="003A1872"/>
    <w:rsid w:val="003B101B"/>
    <w:rsid w:val="003E7B1D"/>
    <w:rsid w:val="00415412"/>
    <w:rsid w:val="004155D9"/>
    <w:rsid w:val="00460ACA"/>
    <w:rsid w:val="00476172"/>
    <w:rsid w:val="0047723C"/>
    <w:rsid w:val="004A3C35"/>
    <w:rsid w:val="004A47CF"/>
    <w:rsid w:val="004A7D6E"/>
    <w:rsid w:val="004B4DC4"/>
    <w:rsid w:val="004B5B6C"/>
    <w:rsid w:val="004C2A2B"/>
    <w:rsid w:val="00524743"/>
    <w:rsid w:val="00526B2E"/>
    <w:rsid w:val="00535547"/>
    <w:rsid w:val="00550792"/>
    <w:rsid w:val="00592959"/>
    <w:rsid w:val="0059640E"/>
    <w:rsid w:val="005D1C01"/>
    <w:rsid w:val="005E62FB"/>
    <w:rsid w:val="005F2BD8"/>
    <w:rsid w:val="00605341"/>
    <w:rsid w:val="006202D8"/>
    <w:rsid w:val="00624D82"/>
    <w:rsid w:val="00654516"/>
    <w:rsid w:val="0066450B"/>
    <w:rsid w:val="00674334"/>
    <w:rsid w:val="00682ECF"/>
    <w:rsid w:val="006C1EFB"/>
    <w:rsid w:val="006D7534"/>
    <w:rsid w:val="006E5B65"/>
    <w:rsid w:val="007709CF"/>
    <w:rsid w:val="007739C5"/>
    <w:rsid w:val="00782284"/>
    <w:rsid w:val="007C38C4"/>
    <w:rsid w:val="007C40C0"/>
    <w:rsid w:val="00887BC7"/>
    <w:rsid w:val="00894840"/>
    <w:rsid w:val="0089495B"/>
    <w:rsid w:val="008A03A2"/>
    <w:rsid w:val="008B4FBE"/>
    <w:rsid w:val="008B78BB"/>
    <w:rsid w:val="008C12D5"/>
    <w:rsid w:val="008D3E84"/>
    <w:rsid w:val="008E0C4E"/>
    <w:rsid w:val="008E583B"/>
    <w:rsid w:val="008E6E08"/>
    <w:rsid w:val="0090702B"/>
    <w:rsid w:val="00912724"/>
    <w:rsid w:val="00914D8B"/>
    <w:rsid w:val="00920FB9"/>
    <w:rsid w:val="00932B9E"/>
    <w:rsid w:val="00985E75"/>
    <w:rsid w:val="0099197E"/>
    <w:rsid w:val="009A11D7"/>
    <w:rsid w:val="009C72A8"/>
    <w:rsid w:val="00A077B5"/>
    <w:rsid w:val="00A15D38"/>
    <w:rsid w:val="00A20DF0"/>
    <w:rsid w:val="00A40B8E"/>
    <w:rsid w:val="00A42A8E"/>
    <w:rsid w:val="00A50B51"/>
    <w:rsid w:val="00A54746"/>
    <w:rsid w:val="00A63EF1"/>
    <w:rsid w:val="00A72567"/>
    <w:rsid w:val="00A73DA2"/>
    <w:rsid w:val="00A76A00"/>
    <w:rsid w:val="00AD256F"/>
    <w:rsid w:val="00AE6D0E"/>
    <w:rsid w:val="00AF7417"/>
    <w:rsid w:val="00B02802"/>
    <w:rsid w:val="00B27D9D"/>
    <w:rsid w:val="00B3462D"/>
    <w:rsid w:val="00B65FBF"/>
    <w:rsid w:val="00B86CF9"/>
    <w:rsid w:val="00BA5A36"/>
    <w:rsid w:val="00BE68FA"/>
    <w:rsid w:val="00BE7FF2"/>
    <w:rsid w:val="00C055CA"/>
    <w:rsid w:val="00C132B8"/>
    <w:rsid w:val="00C34DBC"/>
    <w:rsid w:val="00C666A1"/>
    <w:rsid w:val="00CF139F"/>
    <w:rsid w:val="00D271A9"/>
    <w:rsid w:val="00D75245"/>
    <w:rsid w:val="00D83488"/>
    <w:rsid w:val="00D865EC"/>
    <w:rsid w:val="00D943E2"/>
    <w:rsid w:val="00DA445C"/>
    <w:rsid w:val="00DC1B94"/>
    <w:rsid w:val="00DE2121"/>
    <w:rsid w:val="00DF1564"/>
    <w:rsid w:val="00E00BA4"/>
    <w:rsid w:val="00E33C2D"/>
    <w:rsid w:val="00E74152"/>
    <w:rsid w:val="00E87AFD"/>
    <w:rsid w:val="00EB4168"/>
    <w:rsid w:val="00ED3DAF"/>
    <w:rsid w:val="00ED7530"/>
    <w:rsid w:val="00F10E4D"/>
    <w:rsid w:val="00F202E9"/>
    <w:rsid w:val="00F217F6"/>
    <w:rsid w:val="00F60134"/>
    <w:rsid w:val="00FC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7F4E19"/>
  <w14:defaultImageDpi w14:val="300"/>
  <w15:docId w15:val="{72BB6A02-E34B-4BF5-BADB-0913BCE0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lack Body Copy"/>
    <w:qFormat/>
    <w:rsid w:val="00E00BA4"/>
    <w:pPr>
      <w:spacing w:line="276" w:lineRule="auto"/>
    </w:pPr>
    <w:rPr>
      <w:rFonts w:asciiTheme="minorHAnsi" w:hAnsiTheme="minorHAnsi"/>
      <w:color w:val="565A5C" w:themeColor="accent4"/>
      <w:sz w:val="20"/>
    </w:rPr>
  </w:style>
  <w:style w:type="paragraph" w:styleId="Heading1">
    <w:name w:val="heading 1"/>
    <w:aliases w:val="Section Header"/>
    <w:basedOn w:val="Normal"/>
    <w:next w:val="Normal"/>
    <w:link w:val="Heading1Char"/>
    <w:uiPriority w:val="9"/>
    <w:qFormat/>
    <w:rsid w:val="00A50B51"/>
    <w:pPr>
      <w:keepNext/>
      <w:keepLines/>
      <w:spacing w:before="480" w:line="360" w:lineRule="auto"/>
      <w:outlineLvl w:val="0"/>
    </w:pPr>
    <w:rPr>
      <w:rFonts w:asciiTheme="majorHAnsi" w:eastAsiaTheme="majorEastAsia" w:hAnsiTheme="majorHAnsi" w:cstheme="majorBidi"/>
      <w:b/>
      <w:bCs/>
      <w:caps/>
      <w:sz w:val="36"/>
      <w:szCs w:val="36"/>
    </w:rPr>
  </w:style>
  <w:style w:type="paragraph" w:styleId="Heading2">
    <w:name w:val="heading 2"/>
    <w:basedOn w:val="Normal"/>
    <w:next w:val="Normal"/>
    <w:link w:val="Heading2Char"/>
    <w:uiPriority w:val="9"/>
    <w:unhideWhenUsed/>
    <w:qFormat/>
    <w:rsid w:val="00246B2F"/>
    <w:pPr>
      <w:keepNext/>
      <w:keepLines/>
      <w:spacing w:before="200"/>
      <w:outlineLvl w:val="1"/>
    </w:pPr>
    <w:rPr>
      <w:rFonts w:asciiTheme="majorHAnsi" w:eastAsiaTheme="majorEastAsia" w:hAnsiTheme="majorHAnsi" w:cstheme="majorBidi"/>
      <w:b/>
      <w:bCs/>
      <w:color w:val="72C7E7"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1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134"/>
    <w:rPr>
      <w:rFonts w:ascii="Lucida Grande" w:hAnsi="Lucida Grande" w:cs="Lucida Grande"/>
      <w:sz w:val="18"/>
      <w:szCs w:val="18"/>
    </w:rPr>
  </w:style>
  <w:style w:type="paragraph" w:styleId="Title">
    <w:name w:val="Title"/>
    <w:basedOn w:val="Normal"/>
    <w:next w:val="Normal"/>
    <w:link w:val="TitleChar"/>
    <w:uiPriority w:val="10"/>
    <w:qFormat/>
    <w:rsid w:val="00A50B51"/>
    <w:pPr>
      <w:spacing w:after="300" w:line="240" w:lineRule="auto"/>
      <w:contextualSpacing/>
    </w:pPr>
    <w:rPr>
      <w:rFonts w:eastAsiaTheme="majorEastAsia" w:cstheme="majorBidi"/>
      <w:b/>
      <w:bCs/>
      <w:caps/>
      <w:color w:val="0039A6" w:themeColor="text2"/>
      <w:spacing w:val="5"/>
      <w:kern w:val="28"/>
      <w:sz w:val="48"/>
      <w:szCs w:val="48"/>
    </w:rPr>
  </w:style>
  <w:style w:type="character" w:customStyle="1" w:styleId="TitleChar">
    <w:name w:val="Title Char"/>
    <w:basedOn w:val="DefaultParagraphFont"/>
    <w:link w:val="Title"/>
    <w:uiPriority w:val="10"/>
    <w:rsid w:val="00A50B51"/>
    <w:rPr>
      <w:rFonts w:asciiTheme="minorHAnsi" w:eastAsiaTheme="majorEastAsia" w:hAnsiTheme="minorHAnsi" w:cstheme="majorBidi"/>
      <w:b/>
      <w:bCs/>
      <w:caps/>
      <w:color w:val="0039A6" w:themeColor="text2"/>
      <w:spacing w:val="5"/>
      <w:kern w:val="28"/>
      <w:sz w:val="48"/>
      <w:szCs w:val="48"/>
    </w:rPr>
  </w:style>
  <w:style w:type="paragraph" w:styleId="NoSpacing">
    <w:name w:val="No Spacing"/>
    <w:uiPriority w:val="1"/>
    <w:rsid w:val="00AE6D0E"/>
  </w:style>
  <w:style w:type="character" w:customStyle="1" w:styleId="Heading1Char">
    <w:name w:val="Heading 1 Char"/>
    <w:aliases w:val="Section Header Char"/>
    <w:basedOn w:val="DefaultParagraphFont"/>
    <w:link w:val="Heading1"/>
    <w:uiPriority w:val="9"/>
    <w:rsid w:val="00A50B51"/>
    <w:rPr>
      <w:rFonts w:eastAsiaTheme="majorEastAsia" w:cstheme="majorBidi"/>
      <w:b/>
      <w:bCs/>
      <w:caps/>
      <w:color w:val="565A5C" w:themeColor="accent4"/>
      <w:sz w:val="36"/>
      <w:szCs w:val="36"/>
    </w:rPr>
  </w:style>
  <w:style w:type="paragraph" w:styleId="Footer">
    <w:name w:val="footer"/>
    <w:basedOn w:val="Normal"/>
    <w:link w:val="FooterChar"/>
    <w:uiPriority w:val="99"/>
    <w:unhideWhenUsed/>
    <w:rsid w:val="00A73DA2"/>
    <w:pPr>
      <w:tabs>
        <w:tab w:val="center" w:pos="4320"/>
        <w:tab w:val="right" w:pos="8640"/>
      </w:tabs>
      <w:spacing w:line="240" w:lineRule="auto"/>
    </w:pPr>
  </w:style>
  <w:style w:type="character" w:customStyle="1" w:styleId="FooterChar">
    <w:name w:val="Footer Char"/>
    <w:basedOn w:val="DefaultParagraphFont"/>
    <w:link w:val="Footer"/>
    <w:uiPriority w:val="99"/>
    <w:rsid w:val="00A73DA2"/>
    <w:rPr>
      <w:rFonts w:asciiTheme="minorHAnsi" w:hAnsiTheme="minorHAnsi"/>
    </w:rPr>
  </w:style>
  <w:style w:type="character" w:styleId="PageNumber">
    <w:name w:val="page number"/>
    <w:basedOn w:val="DefaultParagraphFont"/>
    <w:uiPriority w:val="99"/>
    <w:semiHidden/>
    <w:unhideWhenUsed/>
    <w:rsid w:val="00A73DA2"/>
  </w:style>
  <w:style w:type="paragraph" w:styleId="Header">
    <w:name w:val="header"/>
    <w:basedOn w:val="Normal"/>
    <w:link w:val="HeaderChar"/>
    <w:uiPriority w:val="99"/>
    <w:unhideWhenUsed/>
    <w:rsid w:val="00246B2F"/>
    <w:pPr>
      <w:tabs>
        <w:tab w:val="center" w:pos="4320"/>
        <w:tab w:val="right" w:pos="8640"/>
      </w:tabs>
      <w:spacing w:line="240" w:lineRule="auto"/>
    </w:pPr>
  </w:style>
  <w:style w:type="character" w:customStyle="1" w:styleId="HeaderChar">
    <w:name w:val="Header Char"/>
    <w:basedOn w:val="DefaultParagraphFont"/>
    <w:link w:val="Header"/>
    <w:uiPriority w:val="99"/>
    <w:rsid w:val="00246B2F"/>
    <w:rPr>
      <w:rFonts w:asciiTheme="minorHAnsi" w:hAnsiTheme="minorHAnsi"/>
    </w:rPr>
  </w:style>
  <w:style w:type="character" w:customStyle="1" w:styleId="Heading2Char">
    <w:name w:val="Heading 2 Char"/>
    <w:basedOn w:val="DefaultParagraphFont"/>
    <w:link w:val="Heading2"/>
    <w:uiPriority w:val="9"/>
    <w:rsid w:val="00246B2F"/>
    <w:rPr>
      <w:rFonts w:eastAsiaTheme="majorEastAsia" w:cstheme="majorBidi"/>
      <w:b/>
      <w:bCs/>
      <w:color w:val="72C7E7" w:themeColor="accent1"/>
      <w:sz w:val="26"/>
      <w:szCs w:val="26"/>
    </w:rPr>
  </w:style>
  <w:style w:type="paragraph" w:styleId="ListParagraph">
    <w:name w:val="List Paragraph"/>
    <w:basedOn w:val="Normal"/>
    <w:uiPriority w:val="1"/>
    <w:qFormat/>
    <w:rsid w:val="00246B2F"/>
    <w:pPr>
      <w:ind w:left="720"/>
      <w:contextualSpacing/>
    </w:pPr>
  </w:style>
  <w:style w:type="character" w:styleId="Strong">
    <w:name w:val="Strong"/>
    <w:basedOn w:val="DefaultParagraphFont"/>
    <w:uiPriority w:val="22"/>
    <w:qFormat/>
    <w:rsid w:val="00D75245"/>
    <w:rPr>
      <w:b/>
      <w:bCs/>
    </w:rPr>
  </w:style>
  <w:style w:type="table" w:styleId="TableGrid">
    <w:name w:val="Table Grid"/>
    <w:basedOn w:val="TableNormal"/>
    <w:uiPriority w:val="59"/>
    <w:rsid w:val="00BE7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BE7FF2"/>
    <w:tblPr>
      <w:tblStyleRowBandSize w:val="1"/>
      <w:tblStyleColBandSize w:val="1"/>
      <w:tblBorders>
        <w:top w:val="single" w:sz="8" w:space="0" w:color="0039A6" w:themeColor="accent2"/>
        <w:left w:val="single" w:sz="8" w:space="0" w:color="0039A6" w:themeColor="accent2"/>
        <w:bottom w:val="single" w:sz="8" w:space="0" w:color="0039A6" w:themeColor="accent2"/>
        <w:right w:val="single" w:sz="8" w:space="0" w:color="0039A6" w:themeColor="accent2"/>
      </w:tblBorders>
    </w:tblPr>
    <w:tblStylePr w:type="firstRow">
      <w:pPr>
        <w:spacing w:before="0" w:after="0" w:line="240" w:lineRule="auto"/>
      </w:pPr>
      <w:rPr>
        <w:b/>
        <w:bCs/>
        <w:color w:val="FFFFFF" w:themeColor="background1"/>
      </w:rPr>
      <w:tblPr/>
      <w:tcPr>
        <w:shd w:val="clear" w:color="auto" w:fill="0039A6" w:themeFill="accent2"/>
      </w:tcPr>
    </w:tblStylePr>
    <w:tblStylePr w:type="lastRow">
      <w:pPr>
        <w:spacing w:before="0" w:after="0" w:line="240" w:lineRule="auto"/>
      </w:pPr>
      <w:rPr>
        <w:b/>
        <w:bCs/>
      </w:rPr>
      <w:tblPr/>
      <w:tcPr>
        <w:tcBorders>
          <w:top w:val="double" w:sz="6" w:space="0" w:color="0039A6" w:themeColor="accent2"/>
          <w:left w:val="single" w:sz="8" w:space="0" w:color="0039A6" w:themeColor="accent2"/>
          <w:bottom w:val="single" w:sz="8" w:space="0" w:color="0039A6" w:themeColor="accent2"/>
          <w:right w:val="single" w:sz="8" w:space="0" w:color="0039A6" w:themeColor="accent2"/>
        </w:tcBorders>
      </w:tcPr>
    </w:tblStylePr>
    <w:tblStylePr w:type="firstCol">
      <w:rPr>
        <w:b/>
        <w:bCs/>
      </w:rPr>
    </w:tblStylePr>
    <w:tblStylePr w:type="lastCol">
      <w:rPr>
        <w:b/>
        <w:bCs/>
      </w:rPr>
    </w:tblStylePr>
    <w:tblStylePr w:type="band1Vert">
      <w:tblPr/>
      <w:tcPr>
        <w:tcBorders>
          <w:top w:val="single" w:sz="8" w:space="0" w:color="0039A6" w:themeColor="accent2"/>
          <w:left w:val="single" w:sz="8" w:space="0" w:color="0039A6" w:themeColor="accent2"/>
          <w:bottom w:val="single" w:sz="8" w:space="0" w:color="0039A6" w:themeColor="accent2"/>
          <w:right w:val="single" w:sz="8" w:space="0" w:color="0039A6" w:themeColor="accent2"/>
        </w:tcBorders>
      </w:tcPr>
    </w:tblStylePr>
    <w:tblStylePr w:type="band1Horz">
      <w:tblPr/>
      <w:tcPr>
        <w:tcBorders>
          <w:top w:val="single" w:sz="8" w:space="0" w:color="0039A6" w:themeColor="accent2"/>
          <w:left w:val="single" w:sz="8" w:space="0" w:color="0039A6" w:themeColor="accent2"/>
          <w:bottom w:val="single" w:sz="8" w:space="0" w:color="0039A6" w:themeColor="accent2"/>
          <w:right w:val="single" w:sz="8" w:space="0" w:color="0039A6" w:themeColor="accent2"/>
        </w:tcBorders>
      </w:tcPr>
    </w:tblStylePr>
  </w:style>
  <w:style w:type="character" w:styleId="Hyperlink">
    <w:name w:val="Hyperlink"/>
    <w:basedOn w:val="DefaultParagraphFont"/>
    <w:rsid w:val="008E0C4E"/>
    <w:rPr>
      <w:color w:val="0000FF"/>
      <w:u w:val="single"/>
    </w:rPr>
  </w:style>
  <w:style w:type="paragraph" w:styleId="FootnoteText">
    <w:name w:val="footnote text"/>
    <w:basedOn w:val="Normal"/>
    <w:link w:val="FootnoteTextChar"/>
    <w:uiPriority w:val="99"/>
    <w:rsid w:val="008E0C4E"/>
    <w:pPr>
      <w:spacing w:line="240" w:lineRule="auto"/>
    </w:pPr>
    <w:rPr>
      <w:rFonts w:ascii="Times New Roman" w:eastAsia="Times New Roman" w:hAnsi="Times New Roman" w:cs="Times New Roman"/>
      <w:color w:val="auto"/>
      <w:szCs w:val="20"/>
    </w:rPr>
  </w:style>
  <w:style w:type="character" w:customStyle="1" w:styleId="FootnoteTextChar">
    <w:name w:val="Footnote Text Char"/>
    <w:basedOn w:val="DefaultParagraphFont"/>
    <w:link w:val="FootnoteText"/>
    <w:uiPriority w:val="99"/>
    <w:rsid w:val="008E0C4E"/>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8E0C4E"/>
    <w:rPr>
      <w:vertAlign w:val="superscript"/>
    </w:rPr>
  </w:style>
  <w:style w:type="paragraph" w:customStyle="1" w:styleId="ColorfulList-Accent11">
    <w:name w:val="Colorful List - Accent 11"/>
    <w:basedOn w:val="Normal"/>
    <w:uiPriority w:val="34"/>
    <w:qFormat/>
    <w:rsid w:val="00B3462D"/>
    <w:pPr>
      <w:widowControl w:val="0"/>
      <w:spacing w:line="240" w:lineRule="auto"/>
      <w:ind w:left="720"/>
    </w:pPr>
    <w:rPr>
      <w:rFonts w:ascii="Courier New" w:eastAsia="Times New Roman" w:hAnsi="Courier New" w:cs="Courier New"/>
      <w:color w:val="auto"/>
      <w:sz w:val="24"/>
    </w:rPr>
  </w:style>
  <w:style w:type="character" w:styleId="CommentReference">
    <w:name w:val="annotation reference"/>
    <w:basedOn w:val="DefaultParagraphFont"/>
    <w:uiPriority w:val="99"/>
    <w:semiHidden/>
    <w:unhideWhenUsed/>
    <w:rsid w:val="00C132B8"/>
    <w:rPr>
      <w:sz w:val="16"/>
      <w:szCs w:val="16"/>
    </w:rPr>
  </w:style>
  <w:style w:type="paragraph" w:styleId="CommentText">
    <w:name w:val="annotation text"/>
    <w:basedOn w:val="Normal"/>
    <w:link w:val="CommentTextChar"/>
    <w:uiPriority w:val="99"/>
    <w:unhideWhenUsed/>
    <w:rsid w:val="00C132B8"/>
    <w:pPr>
      <w:spacing w:line="240" w:lineRule="auto"/>
    </w:pPr>
    <w:rPr>
      <w:szCs w:val="20"/>
    </w:rPr>
  </w:style>
  <w:style w:type="character" w:customStyle="1" w:styleId="CommentTextChar">
    <w:name w:val="Comment Text Char"/>
    <w:basedOn w:val="DefaultParagraphFont"/>
    <w:link w:val="CommentText"/>
    <w:uiPriority w:val="99"/>
    <w:rsid w:val="00C132B8"/>
    <w:rPr>
      <w:rFonts w:asciiTheme="minorHAnsi" w:hAnsiTheme="minorHAnsi"/>
      <w:color w:val="565A5C" w:themeColor="accent4"/>
      <w:sz w:val="20"/>
      <w:szCs w:val="20"/>
    </w:rPr>
  </w:style>
  <w:style w:type="paragraph" w:styleId="CommentSubject">
    <w:name w:val="annotation subject"/>
    <w:basedOn w:val="CommentText"/>
    <w:next w:val="CommentText"/>
    <w:link w:val="CommentSubjectChar"/>
    <w:uiPriority w:val="99"/>
    <w:semiHidden/>
    <w:unhideWhenUsed/>
    <w:rsid w:val="00C132B8"/>
    <w:rPr>
      <w:b/>
      <w:bCs/>
    </w:rPr>
  </w:style>
  <w:style w:type="character" w:customStyle="1" w:styleId="CommentSubjectChar">
    <w:name w:val="Comment Subject Char"/>
    <w:basedOn w:val="CommentTextChar"/>
    <w:link w:val="CommentSubject"/>
    <w:uiPriority w:val="99"/>
    <w:semiHidden/>
    <w:rsid w:val="00C132B8"/>
    <w:rPr>
      <w:rFonts w:asciiTheme="minorHAnsi" w:hAnsiTheme="minorHAnsi"/>
      <w:b/>
      <w:bCs/>
      <w:color w:val="565A5C" w:themeColor="accent4"/>
      <w:sz w:val="20"/>
      <w:szCs w:val="20"/>
    </w:rPr>
  </w:style>
  <w:style w:type="character" w:styleId="UnresolvedMention">
    <w:name w:val="Unresolved Mention"/>
    <w:basedOn w:val="DefaultParagraphFont"/>
    <w:uiPriority w:val="99"/>
    <w:semiHidden/>
    <w:unhideWhenUsed/>
    <w:rsid w:val="00DE2121"/>
    <w:rPr>
      <w:color w:val="605E5C"/>
      <w:shd w:val="clear" w:color="auto" w:fill="E1DFDD"/>
    </w:rPr>
  </w:style>
  <w:style w:type="paragraph" w:styleId="Revision">
    <w:name w:val="Revision"/>
    <w:hidden/>
    <w:uiPriority w:val="99"/>
    <w:semiHidden/>
    <w:rsid w:val="00524743"/>
    <w:rPr>
      <w:rFonts w:asciiTheme="minorHAnsi" w:hAnsiTheme="minorHAnsi"/>
      <w:color w:val="565A5C" w:themeColor="accent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330361">
      <w:bodyDiv w:val="1"/>
      <w:marLeft w:val="0"/>
      <w:marRight w:val="0"/>
      <w:marTop w:val="0"/>
      <w:marBottom w:val="0"/>
      <w:divBdr>
        <w:top w:val="none" w:sz="0" w:space="0" w:color="auto"/>
        <w:left w:val="none" w:sz="0" w:space="0" w:color="auto"/>
        <w:bottom w:val="none" w:sz="0" w:space="0" w:color="auto"/>
        <w:right w:val="none" w:sz="0" w:space="0" w:color="auto"/>
      </w:divBdr>
    </w:div>
    <w:div w:id="240994446">
      <w:bodyDiv w:val="1"/>
      <w:marLeft w:val="0"/>
      <w:marRight w:val="0"/>
      <w:marTop w:val="0"/>
      <w:marBottom w:val="0"/>
      <w:divBdr>
        <w:top w:val="none" w:sz="0" w:space="0" w:color="auto"/>
        <w:left w:val="none" w:sz="0" w:space="0" w:color="auto"/>
        <w:bottom w:val="none" w:sz="0" w:space="0" w:color="auto"/>
        <w:right w:val="none" w:sz="0" w:space="0" w:color="auto"/>
      </w:divBdr>
    </w:div>
    <w:div w:id="324474328">
      <w:bodyDiv w:val="1"/>
      <w:marLeft w:val="0"/>
      <w:marRight w:val="0"/>
      <w:marTop w:val="0"/>
      <w:marBottom w:val="0"/>
      <w:divBdr>
        <w:top w:val="none" w:sz="0" w:space="0" w:color="auto"/>
        <w:left w:val="none" w:sz="0" w:space="0" w:color="auto"/>
        <w:bottom w:val="none" w:sz="0" w:space="0" w:color="auto"/>
        <w:right w:val="none" w:sz="0" w:space="0" w:color="auto"/>
      </w:divBdr>
    </w:div>
    <w:div w:id="351733041">
      <w:bodyDiv w:val="1"/>
      <w:marLeft w:val="0"/>
      <w:marRight w:val="0"/>
      <w:marTop w:val="0"/>
      <w:marBottom w:val="0"/>
      <w:divBdr>
        <w:top w:val="none" w:sz="0" w:space="0" w:color="auto"/>
        <w:left w:val="none" w:sz="0" w:space="0" w:color="auto"/>
        <w:bottom w:val="none" w:sz="0" w:space="0" w:color="auto"/>
        <w:right w:val="none" w:sz="0" w:space="0" w:color="auto"/>
      </w:divBdr>
    </w:div>
    <w:div w:id="480780094">
      <w:bodyDiv w:val="1"/>
      <w:marLeft w:val="0"/>
      <w:marRight w:val="0"/>
      <w:marTop w:val="0"/>
      <w:marBottom w:val="0"/>
      <w:divBdr>
        <w:top w:val="none" w:sz="0" w:space="0" w:color="auto"/>
        <w:left w:val="none" w:sz="0" w:space="0" w:color="auto"/>
        <w:bottom w:val="none" w:sz="0" w:space="0" w:color="auto"/>
        <w:right w:val="none" w:sz="0" w:space="0" w:color="auto"/>
      </w:divBdr>
    </w:div>
    <w:div w:id="482308877">
      <w:bodyDiv w:val="1"/>
      <w:marLeft w:val="0"/>
      <w:marRight w:val="0"/>
      <w:marTop w:val="0"/>
      <w:marBottom w:val="0"/>
      <w:divBdr>
        <w:top w:val="none" w:sz="0" w:space="0" w:color="auto"/>
        <w:left w:val="none" w:sz="0" w:space="0" w:color="auto"/>
        <w:bottom w:val="none" w:sz="0" w:space="0" w:color="auto"/>
        <w:right w:val="none" w:sz="0" w:space="0" w:color="auto"/>
      </w:divBdr>
    </w:div>
    <w:div w:id="488517052">
      <w:bodyDiv w:val="1"/>
      <w:marLeft w:val="0"/>
      <w:marRight w:val="0"/>
      <w:marTop w:val="0"/>
      <w:marBottom w:val="0"/>
      <w:divBdr>
        <w:top w:val="none" w:sz="0" w:space="0" w:color="auto"/>
        <w:left w:val="none" w:sz="0" w:space="0" w:color="auto"/>
        <w:bottom w:val="none" w:sz="0" w:space="0" w:color="auto"/>
        <w:right w:val="none" w:sz="0" w:space="0" w:color="auto"/>
      </w:divBdr>
    </w:div>
    <w:div w:id="625624922">
      <w:bodyDiv w:val="1"/>
      <w:marLeft w:val="0"/>
      <w:marRight w:val="0"/>
      <w:marTop w:val="0"/>
      <w:marBottom w:val="0"/>
      <w:divBdr>
        <w:top w:val="none" w:sz="0" w:space="0" w:color="auto"/>
        <w:left w:val="none" w:sz="0" w:space="0" w:color="auto"/>
        <w:bottom w:val="none" w:sz="0" w:space="0" w:color="auto"/>
        <w:right w:val="none" w:sz="0" w:space="0" w:color="auto"/>
      </w:divBdr>
    </w:div>
    <w:div w:id="659819336">
      <w:bodyDiv w:val="1"/>
      <w:marLeft w:val="0"/>
      <w:marRight w:val="0"/>
      <w:marTop w:val="0"/>
      <w:marBottom w:val="0"/>
      <w:divBdr>
        <w:top w:val="none" w:sz="0" w:space="0" w:color="auto"/>
        <w:left w:val="none" w:sz="0" w:space="0" w:color="auto"/>
        <w:bottom w:val="none" w:sz="0" w:space="0" w:color="auto"/>
        <w:right w:val="none" w:sz="0" w:space="0" w:color="auto"/>
      </w:divBdr>
    </w:div>
    <w:div w:id="868954539">
      <w:bodyDiv w:val="1"/>
      <w:marLeft w:val="0"/>
      <w:marRight w:val="0"/>
      <w:marTop w:val="0"/>
      <w:marBottom w:val="0"/>
      <w:divBdr>
        <w:top w:val="none" w:sz="0" w:space="0" w:color="auto"/>
        <w:left w:val="none" w:sz="0" w:space="0" w:color="auto"/>
        <w:bottom w:val="none" w:sz="0" w:space="0" w:color="auto"/>
        <w:right w:val="none" w:sz="0" w:space="0" w:color="auto"/>
      </w:divBdr>
    </w:div>
    <w:div w:id="911163032">
      <w:bodyDiv w:val="1"/>
      <w:marLeft w:val="0"/>
      <w:marRight w:val="0"/>
      <w:marTop w:val="0"/>
      <w:marBottom w:val="0"/>
      <w:divBdr>
        <w:top w:val="none" w:sz="0" w:space="0" w:color="auto"/>
        <w:left w:val="none" w:sz="0" w:space="0" w:color="auto"/>
        <w:bottom w:val="none" w:sz="0" w:space="0" w:color="auto"/>
        <w:right w:val="none" w:sz="0" w:space="0" w:color="auto"/>
      </w:divBdr>
    </w:div>
    <w:div w:id="970132630">
      <w:bodyDiv w:val="1"/>
      <w:marLeft w:val="0"/>
      <w:marRight w:val="0"/>
      <w:marTop w:val="0"/>
      <w:marBottom w:val="0"/>
      <w:divBdr>
        <w:top w:val="none" w:sz="0" w:space="0" w:color="auto"/>
        <w:left w:val="none" w:sz="0" w:space="0" w:color="auto"/>
        <w:bottom w:val="none" w:sz="0" w:space="0" w:color="auto"/>
        <w:right w:val="none" w:sz="0" w:space="0" w:color="auto"/>
      </w:divBdr>
    </w:div>
    <w:div w:id="1144851792">
      <w:bodyDiv w:val="1"/>
      <w:marLeft w:val="0"/>
      <w:marRight w:val="0"/>
      <w:marTop w:val="0"/>
      <w:marBottom w:val="0"/>
      <w:divBdr>
        <w:top w:val="none" w:sz="0" w:space="0" w:color="auto"/>
        <w:left w:val="none" w:sz="0" w:space="0" w:color="auto"/>
        <w:bottom w:val="none" w:sz="0" w:space="0" w:color="auto"/>
        <w:right w:val="none" w:sz="0" w:space="0" w:color="auto"/>
      </w:divBdr>
    </w:div>
    <w:div w:id="1536193532">
      <w:bodyDiv w:val="1"/>
      <w:marLeft w:val="0"/>
      <w:marRight w:val="0"/>
      <w:marTop w:val="0"/>
      <w:marBottom w:val="0"/>
      <w:divBdr>
        <w:top w:val="none" w:sz="0" w:space="0" w:color="auto"/>
        <w:left w:val="none" w:sz="0" w:space="0" w:color="auto"/>
        <w:bottom w:val="none" w:sz="0" w:space="0" w:color="auto"/>
        <w:right w:val="none" w:sz="0" w:space="0" w:color="auto"/>
      </w:divBdr>
    </w:div>
    <w:div w:id="19079149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arketSurveillance-US@ice.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ice.com/publicdocs/futures_us/ICE_Futures_US_PositionLimitGuidanc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4AD405D3636E48B2E1371B365833FF"/>
        <w:category>
          <w:name w:val="General"/>
          <w:gallery w:val="placeholder"/>
        </w:category>
        <w:types>
          <w:type w:val="bbPlcHdr"/>
        </w:types>
        <w:behaviors>
          <w:behavior w:val="content"/>
        </w:behaviors>
        <w:guid w:val="{FBA6AAF5-5B22-0F42-B486-F8A97DA15485}"/>
      </w:docPartPr>
      <w:docPartBody>
        <w:p w:rsidR="00C2529A" w:rsidRDefault="00C2529A" w:rsidP="00C2529A">
          <w:pPr>
            <w:pStyle w:val="C94AD405D3636E48B2E1371B365833FF"/>
          </w:pPr>
          <w:r>
            <w:t>[Type text]</w:t>
          </w:r>
        </w:p>
      </w:docPartBody>
    </w:docPart>
    <w:docPart>
      <w:docPartPr>
        <w:name w:val="AB69599A987CC84FA2D73F40DBE5C0A5"/>
        <w:category>
          <w:name w:val="General"/>
          <w:gallery w:val="placeholder"/>
        </w:category>
        <w:types>
          <w:type w:val="bbPlcHdr"/>
        </w:types>
        <w:behaviors>
          <w:behavior w:val="content"/>
        </w:behaviors>
        <w:guid w:val="{2B00A41B-17B5-7E46-939D-F124B9BEA0C3}"/>
      </w:docPartPr>
      <w:docPartBody>
        <w:p w:rsidR="00C2529A" w:rsidRDefault="00C2529A" w:rsidP="00C2529A">
          <w:pPr>
            <w:pStyle w:val="AB69599A987CC84FA2D73F40DBE5C0A5"/>
          </w:pPr>
          <w:r>
            <w:t>[Type text]</w:t>
          </w:r>
        </w:p>
      </w:docPartBody>
    </w:docPart>
    <w:docPart>
      <w:docPartPr>
        <w:name w:val="E9E57963B2B69B4EB6F1752D65FD830E"/>
        <w:category>
          <w:name w:val="General"/>
          <w:gallery w:val="placeholder"/>
        </w:category>
        <w:types>
          <w:type w:val="bbPlcHdr"/>
        </w:types>
        <w:behaviors>
          <w:behavior w:val="content"/>
        </w:behaviors>
        <w:guid w:val="{55CD36FD-CD49-C64C-A2FB-14F2EAD78CFC}"/>
      </w:docPartPr>
      <w:docPartBody>
        <w:p w:rsidR="00C2529A" w:rsidRDefault="00C2529A" w:rsidP="00C2529A">
          <w:pPr>
            <w:pStyle w:val="E9E57963B2B69B4EB6F1752D65FD830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6F4"/>
    <w:rsid w:val="000A46F4"/>
    <w:rsid w:val="002867F9"/>
    <w:rsid w:val="002B7761"/>
    <w:rsid w:val="002D3B65"/>
    <w:rsid w:val="003D113D"/>
    <w:rsid w:val="003E7B1D"/>
    <w:rsid w:val="0059640E"/>
    <w:rsid w:val="00781EB5"/>
    <w:rsid w:val="00782284"/>
    <w:rsid w:val="00A077B5"/>
    <w:rsid w:val="00AE1029"/>
    <w:rsid w:val="00B02802"/>
    <w:rsid w:val="00C2529A"/>
    <w:rsid w:val="00D82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4AD405D3636E48B2E1371B365833FF">
    <w:name w:val="C94AD405D3636E48B2E1371B365833FF"/>
    <w:rsid w:val="00C2529A"/>
  </w:style>
  <w:style w:type="paragraph" w:customStyle="1" w:styleId="AB69599A987CC84FA2D73F40DBE5C0A5">
    <w:name w:val="AB69599A987CC84FA2D73F40DBE5C0A5"/>
    <w:rsid w:val="00C2529A"/>
  </w:style>
  <w:style w:type="paragraph" w:customStyle="1" w:styleId="E9E57963B2B69B4EB6F1752D65FD830E">
    <w:name w:val="E9E57963B2B69B4EB6F1752D65FD830E"/>
    <w:rsid w:val="00C25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ICE_PowerPoint_Master_Standard_Lite_20150717">
  <a:themeElements>
    <a:clrScheme name="Updated ICE Colors">
      <a:dk1>
        <a:srgbClr val="565A5C"/>
      </a:dk1>
      <a:lt1>
        <a:sysClr val="window" lastClr="FFFFFF"/>
      </a:lt1>
      <a:dk2>
        <a:srgbClr val="0039A6"/>
      </a:dk2>
      <a:lt2>
        <a:srgbClr val="FFFFFF"/>
      </a:lt2>
      <a:accent1>
        <a:srgbClr val="72C7E7"/>
      </a:accent1>
      <a:accent2>
        <a:srgbClr val="0039A6"/>
      </a:accent2>
      <a:accent3>
        <a:srgbClr val="76D750"/>
      </a:accent3>
      <a:accent4>
        <a:srgbClr val="565A5C"/>
      </a:accent4>
      <a:accent5>
        <a:srgbClr val="A2A4A3"/>
      </a:accent5>
      <a:accent6>
        <a:srgbClr val="FFA02F"/>
      </a:accent6>
      <a:hlink>
        <a:srgbClr val="0039A6"/>
      </a:hlink>
      <a:folHlink>
        <a:srgbClr val="0039A6"/>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Date</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B21019F1353AB40881F4494DDEFA8B7" ma:contentTypeVersion="16" ma:contentTypeDescription="Create a new document." ma:contentTypeScope="" ma:versionID="16f20f74a86eb31c98f7833ae3e39652">
  <xsd:schema xmlns:xsd="http://www.w3.org/2001/XMLSchema" xmlns:xs="http://www.w3.org/2001/XMLSchema" xmlns:p="http://schemas.microsoft.com/office/2006/metadata/properties" xmlns:ns2="180fd9d3-fc77-4c7f-a08a-c09f3387556e" xmlns:ns3="71b0a3c0-0bf1-4d29-96ae-cb704e301085" targetNamespace="http://schemas.microsoft.com/office/2006/metadata/properties" ma:root="true" ma:fieldsID="eb143a686875412df06b93772c6ae814" ns2:_="" ns3:_="">
    <xsd:import namespace="180fd9d3-fc77-4c7f-a08a-c09f3387556e"/>
    <xsd:import namespace="71b0a3c0-0bf1-4d29-96ae-cb704e3010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2:SharedWithUsers" minOccurs="0"/>
                <xsd:element ref="ns2:SharedWithDetails" minOccurs="0"/>
                <xsd:element ref="ns3:lcf76f155ced4ddcb4097134ff3c332f" minOccurs="0"/>
                <xsd:element ref="ns2:TaxCatchAll" minOccurs="0"/>
                <xsd:element ref="ns3:MediaServiceOCR"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fd9d3-fc77-4c7f-a08a-c09f33875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5c3130-d851-45da-937d-1a8f02f5cccb}" ma:internalName="TaxCatchAll" ma:showField="CatchAllData" ma:web="180fd9d3-fc77-4c7f-a08a-c09f338755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b0a3c0-0bf1-4d29-96ae-cb704e3010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fbb6b1-6200-42ae-a2fe-3997facd95e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71b0a3c0-0bf1-4d29-96ae-cb704e301085" xsi:nil="true"/>
    <TaxCatchAll xmlns="180fd9d3-fc77-4c7f-a08a-c09f3387556e" xsi:nil="true"/>
    <lcf76f155ced4ddcb4097134ff3c332f xmlns="71b0a3c0-0bf1-4d29-96ae-cb704e301085">
      <Terms xmlns="http://schemas.microsoft.com/office/infopath/2007/PartnerControls"/>
    </lcf76f155ced4ddcb4097134ff3c332f>
    <_dlc_DocId xmlns="180fd9d3-fc77-4c7f-a08a-c09f3387556e">W3JXUAA5UUZQ-1543941109-823509</_dlc_DocId>
    <_dlc_DocIdUrl xmlns="180fd9d3-fc77-4c7f-a08a-c09f3387556e">
      <Url>https://iceholdings.sharepoint.com/sites/msteams_873a84/_layouts/15/DocIdRedir.aspx?ID=W3JXUAA5UUZQ-1543941109-823509</Url>
      <Description>W3JXUAA5UUZQ-1543941109-823509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8AF8C7-D975-4093-83D3-37D6B434DB50}">
  <ds:schemaRefs>
    <ds:schemaRef ds:uri="http://schemas.microsoft.com/sharepoint/events"/>
  </ds:schemaRefs>
</ds:datastoreItem>
</file>

<file path=customXml/itemProps3.xml><?xml version="1.0" encoding="utf-8"?>
<ds:datastoreItem xmlns:ds="http://schemas.openxmlformats.org/officeDocument/2006/customXml" ds:itemID="{1C875ADB-B138-4E5F-8FF6-8F772500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fd9d3-fc77-4c7f-a08a-c09f3387556e"/>
    <ds:schemaRef ds:uri="71b0a3c0-0bf1-4d29-96ae-cb704e301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832AB-50EF-4536-9138-D11ACDC96C17}">
  <ds:schemaRefs>
    <ds:schemaRef ds:uri="http://schemas.openxmlformats.org/officeDocument/2006/bibliography"/>
  </ds:schemaRefs>
</ds:datastoreItem>
</file>

<file path=customXml/itemProps5.xml><?xml version="1.0" encoding="utf-8"?>
<ds:datastoreItem xmlns:ds="http://schemas.openxmlformats.org/officeDocument/2006/customXml" ds:itemID="{5B176E6B-FACB-43F6-B135-C72F2CB26EA5}">
  <ds:schemaRefs>
    <ds:schemaRef ds:uri="http://schemas.microsoft.com/office/2006/metadata/properties"/>
    <ds:schemaRef ds:uri="http://schemas.microsoft.com/office/infopath/2007/PartnerControls"/>
    <ds:schemaRef ds:uri="71b0a3c0-0bf1-4d29-96ae-cb704e301085"/>
    <ds:schemaRef ds:uri="180fd9d3-fc77-4c7f-a08a-c09f3387556e"/>
  </ds:schemaRefs>
</ds:datastoreItem>
</file>

<file path=customXml/itemProps6.xml><?xml version="1.0" encoding="utf-8"?>
<ds:datastoreItem xmlns:ds="http://schemas.openxmlformats.org/officeDocument/2006/customXml" ds:itemID="{07FA057A-FCD6-4C8D-BBBE-498DF1875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2081</Words>
  <Characters>11864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DOCUMENT TITLE</vt:lpstr>
    </vt:vector>
  </TitlesOfParts>
  <Company>ICE</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Subheading</dc:creator>
  <cp:lastModifiedBy>Patrick Swartzer</cp:lastModifiedBy>
  <cp:revision>4</cp:revision>
  <cp:lastPrinted>2015-08-31T20:01:00Z</cp:lastPrinted>
  <dcterms:created xsi:type="dcterms:W3CDTF">2025-04-02T13:47:00Z</dcterms:created>
  <dcterms:modified xsi:type="dcterms:W3CDTF">2025-04-02T14:08:00Z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https://icespace.cpex.com</vt:lpwstr>
  </property>
  <property fmtid="{D5CDD505-2E9C-101B-9397-08002B2CF9AE}" pid="3" name="Offisync_UniqueId">
    <vt:lpwstr>79270</vt:lpwstr>
  </property>
  <property fmtid="{D5CDD505-2E9C-101B-9397-08002B2CF9AE}" pid="4" name="Offisync_ServerID">
    <vt:lpwstr>3e34f6b8-f45d-43e4-8513-02419b409120</vt:lpwstr>
  </property>
  <property fmtid="{D5CDD505-2E9C-101B-9397-08002B2CF9AE}" pid="5" name="Jive_LatestUserAccountName">
    <vt:lpwstr>syoung</vt:lpwstr>
  </property>
  <property fmtid="{D5CDD505-2E9C-101B-9397-08002B2CF9AE}" pid="6" name="Offisync_UpdateToken">
    <vt:lpwstr>2</vt:lpwstr>
  </property>
  <property fmtid="{D5CDD505-2E9C-101B-9397-08002B2CF9AE}" pid="7" name="Jive_VersionGuid">
    <vt:lpwstr>6f35dbcc-da4c-48a8-b2a6-10d9d1477cbf</vt:lpwstr>
  </property>
  <property fmtid="{D5CDD505-2E9C-101B-9397-08002B2CF9AE}" pid="8" name="Jive_ModifiedButNotPublished">
    <vt:lpwstr>True</vt:lpwstr>
  </property>
  <property fmtid="{D5CDD505-2E9C-101B-9397-08002B2CF9AE}" pid="9" name="ContentTypeId">
    <vt:lpwstr>0x0101004B21019F1353AB40881F4494DDEFA8B7</vt:lpwstr>
  </property>
  <property fmtid="{D5CDD505-2E9C-101B-9397-08002B2CF9AE}" pid="10" name="_dlc_DocIdItemGuid">
    <vt:lpwstr>fc06c439-dae4-4679-ae1a-583cdd62dc74</vt:lpwstr>
  </property>
  <property fmtid="{D5CDD505-2E9C-101B-9397-08002B2CF9AE}" pid="11" name="MediaServiceImageTags">
    <vt:lpwstr/>
  </property>
</Properties>
</file>